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B35323" w:rsidRDefault="00EB55A4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H. AYUNTAMIENTO DE LEÓN, GUANAJUATO,</w:t>
      </w:r>
    </w:p>
    <w:p w:rsidR="00B35323" w:rsidRDefault="00EB55A4">
      <w:pPr>
        <w:spacing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P R E S E N T E.</w:t>
      </w:r>
    </w:p>
    <w:p w:rsidR="00B35323" w:rsidRDefault="00B35323">
      <w:pPr>
        <w:spacing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Los</w:t>
      </w:r>
      <w:r>
        <w:rPr>
          <w:rFonts w:ascii="Arial" w:eastAsia="Arial" w:hAnsi="Arial" w:cs="Arial"/>
          <w:b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suscritos integrantes de la Comisión de Hacienda, Patrimonio y Cuenta Pública y Desarrollo Institucional, con fundamento en los artículos 50, 56, 66, 70 y 71 del Reglamento Interior del H. Ayuntamiento de León, Guanajuato; sometemos a este cuerpo edilicio </w:t>
      </w:r>
      <w:r>
        <w:rPr>
          <w:rFonts w:ascii="Arial" w:eastAsia="Arial" w:hAnsi="Arial" w:cs="Arial"/>
          <w:sz w:val="26"/>
          <w:szCs w:val="26"/>
        </w:rPr>
        <w:t>la propuesta de acuerdo que se formula al final del presente dictamen, con base en las siguientes:</w:t>
      </w:r>
    </w:p>
    <w:p w:rsidR="00B35323" w:rsidRDefault="00B35323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:rsidR="00B35323" w:rsidRDefault="00EB55A4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C O N S I D E R A C I O N E S</w:t>
      </w:r>
    </w:p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I.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 Esta administración es consiente que garantizando la operación de los recursos humanos y materiales se fortalece a las un</w:t>
      </w:r>
      <w:r>
        <w:rPr>
          <w:rFonts w:ascii="Arial" w:eastAsia="Arial" w:hAnsi="Arial" w:cs="Arial"/>
          <w:color w:val="000000"/>
          <w:sz w:val="26"/>
          <w:szCs w:val="26"/>
        </w:rPr>
        <w:t>idades administrativas y se contribuye a mejorar en la satisfacción de las necesidades de la ciudadanía</w:t>
      </w:r>
      <w:r>
        <w:rPr>
          <w:rFonts w:ascii="Arial" w:eastAsia="Arial" w:hAnsi="Arial" w:cs="Arial"/>
          <w:sz w:val="26"/>
          <w:szCs w:val="26"/>
        </w:rPr>
        <w:t>.</w:t>
      </w:r>
    </w:p>
    <w:p w:rsidR="00B35323" w:rsidRDefault="00B35323">
      <w:pPr>
        <w:spacing w:after="0" w:line="240" w:lineRule="auto"/>
        <w:ind w:firstLine="567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II.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 Para los cambios en la estructura y organización del municipio, se debe considerar y privilegiar aquellos enfocados en atender mejoras significativas y modernización en la administración pública, pues contar con el personal necesario en la estructura adm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inistrativa facilita las tareas del aparato gubernamental, al </w:t>
      </w:r>
      <w:proofErr w:type="spellStart"/>
      <w:r>
        <w:rPr>
          <w:rFonts w:ascii="Arial" w:eastAsia="Arial" w:hAnsi="Arial" w:cs="Arial"/>
          <w:color w:val="000000"/>
          <w:sz w:val="26"/>
          <w:szCs w:val="26"/>
        </w:rPr>
        <w:t>eficientar</w:t>
      </w:r>
      <w:proofErr w:type="spellEnd"/>
      <w:r>
        <w:rPr>
          <w:rFonts w:ascii="Arial" w:eastAsia="Arial" w:hAnsi="Arial" w:cs="Arial"/>
          <w:color w:val="000000"/>
          <w:sz w:val="26"/>
          <w:szCs w:val="26"/>
        </w:rPr>
        <w:t xml:space="preserve"> los procedimientos administrativos e incrementar la cobertura de los servicios públicos.</w:t>
      </w:r>
    </w:p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III.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 El Nodo León Compacto, Inteligente y Conectado del Programa de Gobierno 2018-2021, Gobierno Abierto, establece el Programa “Modernización del Gobierno” a través de la implementación de procesos y métodos de trabajo que permitan mejoras significativas y l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a modernización en la administración pública que facilite el cumplimiento de los objetivos institucionales. </w:t>
      </w:r>
    </w:p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IV</w:t>
      </w:r>
      <w:r>
        <w:rPr>
          <w:rFonts w:ascii="Arial" w:eastAsia="Arial" w:hAnsi="Arial" w:cs="Arial"/>
          <w:color w:val="000000"/>
          <w:sz w:val="26"/>
          <w:szCs w:val="26"/>
        </w:rPr>
        <w:t>.</w:t>
      </w: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 </w:t>
      </w:r>
      <w:r>
        <w:rPr>
          <w:rFonts w:ascii="Arial" w:eastAsia="Arial" w:hAnsi="Arial" w:cs="Arial"/>
          <w:color w:val="000000"/>
          <w:sz w:val="26"/>
          <w:szCs w:val="26"/>
        </w:rPr>
        <w:t>Con el objeto de reforzar diversas áreas de la administración municipal, se presenta la necesidad de actualizar las herramientas que permitan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la continuidad del modelo organizacional para el funcionamiento administrativo, como lo son los cuadros básicos.</w:t>
      </w:r>
    </w:p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La actualización y modernización administrativa que se plantea en este dictamen versa sobre la actualización de los cuadros básicos siguiente</w:t>
      </w:r>
      <w:r>
        <w:rPr>
          <w:rFonts w:ascii="Arial" w:eastAsia="Arial" w:hAnsi="Arial" w:cs="Arial"/>
          <w:sz w:val="26"/>
          <w:szCs w:val="26"/>
        </w:rPr>
        <w:t>s:</w:t>
      </w:r>
    </w:p>
    <w:p w:rsidR="00B35323" w:rsidRDefault="00B35323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De los Juzgados Administrativos con la finalidad de otorgar atención al incremento de demandas presentadas y la substanciación de los procedimientos administrativos derivados del juicio sumario. </w:t>
      </w:r>
    </w:p>
    <w:p w:rsidR="00B35323" w:rsidRDefault="00B35323">
      <w:pPr>
        <w:spacing w:after="0" w:line="240" w:lineRule="auto"/>
        <w:ind w:left="720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ind w:left="72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Como antecedente a tal necesidad el H. Ayuntamiento en </w:t>
      </w:r>
      <w:r>
        <w:rPr>
          <w:rFonts w:ascii="Arial" w:eastAsia="Arial" w:hAnsi="Arial" w:cs="Arial"/>
          <w:sz w:val="26"/>
          <w:szCs w:val="26"/>
        </w:rPr>
        <w:t>su sesión ordinaria de fecha 11 de febrero del año en curso aprobó la creación del Cuarto Juzgado Administrativo Municipal con la finalidad de fortalecer el sistema de justicia administrativa y brindar un mejor servicio, resolviendo de manera pronta y expe</w:t>
      </w:r>
      <w:r>
        <w:rPr>
          <w:rFonts w:ascii="Arial" w:eastAsia="Arial" w:hAnsi="Arial" w:cs="Arial"/>
          <w:sz w:val="26"/>
          <w:szCs w:val="26"/>
        </w:rPr>
        <w:t>dita los procedimientos.</w:t>
      </w:r>
    </w:p>
    <w:p w:rsidR="00B35323" w:rsidRDefault="00B35323">
      <w:pPr>
        <w:spacing w:after="0" w:line="240" w:lineRule="auto"/>
        <w:ind w:left="720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De la Dirección General de Gobierno para efecto de que en su estructura orgánica se incluya a la persona encargada de ejecutar las estrategias, directrices y lineamientos que establezca el Secretario del H. Ayuntamiento en materia de política interior del </w:t>
      </w:r>
      <w:r>
        <w:rPr>
          <w:rFonts w:ascii="Arial" w:eastAsia="Arial" w:hAnsi="Arial" w:cs="Arial"/>
          <w:sz w:val="26"/>
          <w:szCs w:val="26"/>
        </w:rPr>
        <w:t>Municipio, garantizando el acceso y protección a Derechos Humanos.</w:t>
      </w:r>
    </w:p>
    <w:p w:rsidR="00B35323" w:rsidRDefault="00B35323">
      <w:pPr>
        <w:spacing w:after="0" w:line="240" w:lineRule="auto"/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B35323" w:rsidRDefault="00EB55A4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De la Dirección General de Asuntos Jurídicos con el objeto de ampliar el capital humano que se encarga de atender la defensa legal de los procedimientos jurisdiccionales interpuestos en co</w:t>
      </w:r>
      <w:r>
        <w:rPr>
          <w:rFonts w:ascii="Arial" w:eastAsia="Arial" w:hAnsi="Arial" w:cs="Arial"/>
          <w:sz w:val="26"/>
          <w:szCs w:val="26"/>
        </w:rPr>
        <w:t>ntra del Presidente Municipal, Ediles integrantes del Ayuntamiento y Secretario del Ayuntamiento así como la atención de las demandas presentadas y la substanciación de los procedimientos administrativos derivados del juicio sumario.</w:t>
      </w:r>
    </w:p>
    <w:p w:rsidR="00B35323" w:rsidRDefault="00B35323">
      <w:pPr>
        <w:spacing w:after="0" w:line="240" w:lineRule="auto"/>
        <w:ind w:left="720"/>
        <w:jc w:val="both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Por lo anteriormente </w:t>
      </w:r>
      <w:r>
        <w:rPr>
          <w:rFonts w:ascii="Arial" w:eastAsia="Arial" w:hAnsi="Arial" w:cs="Arial"/>
          <w:sz w:val="26"/>
          <w:szCs w:val="26"/>
        </w:rPr>
        <w:t>expuesto los integrantes de esta comisión consideramos conveniente someter a consideración de este Ayuntamiento la aprobación de la propuesta del siguiente: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A C U E R D O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PRIMERO.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Con el objeto de optimizar las funciones del servicio en la Administraci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ón Pública Municipal </w:t>
      </w:r>
      <w:r>
        <w:rPr>
          <w:rFonts w:ascii="Arial" w:eastAsia="Arial" w:hAnsi="Arial" w:cs="Arial"/>
          <w:b/>
          <w:color w:val="000000"/>
          <w:sz w:val="26"/>
          <w:szCs w:val="26"/>
        </w:rPr>
        <w:t>se autoriza modificar los cuadros básicos de los Juzgados Administrativos Municipales así como de las Direcciones Generales de Gobierno y Asuntos Jurídicos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en los términos y condiciones del documento que como anexo forma parte del pres</w:t>
      </w:r>
      <w:r>
        <w:rPr>
          <w:rFonts w:ascii="Arial" w:eastAsia="Arial" w:hAnsi="Arial" w:cs="Arial"/>
          <w:color w:val="000000"/>
          <w:sz w:val="26"/>
          <w:szCs w:val="26"/>
        </w:rPr>
        <w:t>ente acuerdo.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SEGUNDO.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Los cuadros básicos salariales referidos en el punto de acuerdo anterior, sustituirán a todas aquellas herramientas salariales que con anterioridad hayan sido aprobadas por el H. Ayuntamiento y comenzarán a implementarse al día sigu</w:t>
      </w:r>
      <w:r>
        <w:rPr>
          <w:rFonts w:ascii="Arial" w:eastAsia="Arial" w:hAnsi="Arial" w:cs="Arial"/>
          <w:color w:val="000000"/>
          <w:sz w:val="26"/>
          <w:szCs w:val="26"/>
        </w:rPr>
        <w:t>iente de la aprobación del presente acuerdo.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TERCERO.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Se autoriza a la Dirección General de Desarrollo Institucional para que realice los ajustes que resulten necesarios para el cumplimiento del presente acuerdo; así mismo se instruye a la Tesorería Municipal para que efectúe los movimientos contables y pres</w:t>
      </w:r>
      <w:r>
        <w:rPr>
          <w:rFonts w:ascii="Arial" w:eastAsia="Arial" w:hAnsi="Arial" w:cs="Arial"/>
          <w:color w:val="000000"/>
          <w:sz w:val="26"/>
          <w:szCs w:val="26"/>
        </w:rPr>
        <w:t>upuestales que se requieran para el mismo fin.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CUARTO.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Se aprueban todos los actos jurídicos y administrativos que resulten necesarios para ejecutar el presente acuerdo.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EB55A4">
      <w:pPr>
        <w:spacing w:after="0" w:line="240" w:lineRule="auto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 T E N T A M E N T E</w:t>
      </w:r>
    </w:p>
    <w:p w:rsidR="00B35323" w:rsidRDefault="00EB55A4">
      <w:pPr>
        <w:spacing w:after="0" w:line="240" w:lineRule="auto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“EL TRABAJO TODO LO VENCE”</w:t>
      </w:r>
    </w:p>
    <w:p w:rsidR="00B35323" w:rsidRDefault="00EB55A4">
      <w:pPr>
        <w:spacing w:after="0" w:line="240" w:lineRule="auto"/>
        <w:ind w:left="-284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“2021: AÑO DE LA INDEPENDENCIA” </w:t>
      </w:r>
    </w:p>
    <w:p w:rsidR="00B35323" w:rsidRDefault="00EB5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LEON, GTO., 23 DE FEBRERO DE 2021</w:t>
      </w: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B35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:rsidR="00B35323" w:rsidRDefault="00EB55A4">
      <w:pPr>
        <w:spacing w:after="0" w:line="240" w:lineRule="auto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LOS INTEGRANTES DE LA COMISIÓN DE HACIENDA, PATRIMONIO Y CUENTA PÚBLICA Y DESARROLLO INSTITUCIONAL</w:t>
      </w:r>
    </w:p>
    <w:p w:rsidR="00B35323" w:rsidRDefault="00B35323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B35323" w:rsidRDefault="00EB55A4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0"/>
          <w:szCs w:val="20"/>
        </w:rPr>
        <w:t xml:space="preserve">“La administración pública municipal de León, y las personas que formamos parte de ella, nos comprometemos a garantizar </w:t>
      </w:r>
      <w:r>
        <w:rPr>
          <w:rFonts w:ascii="Arial" w:eastAsia="Arial" w:hAnsi="Arial" w:cs="Arial"/>
          <w:b/>
          <w:sz w:val="20"/>
          <w:szCs w:val="20"/>
        </w:rPr>
        <w:t>el derecho de las mujeres a vivir libres de violencia”</w:t>
      </w: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A FAVOR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LETICIA VILLEGAS NAVA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SÍNDICO</w:t>
      </w: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A FAVOR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GILBERTO LÓPEZ JIMÉNEZ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</w:t>
      </w: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A FAVOR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ANA MARÍA ESQUIVEL ARRONA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REGIDORA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                                                         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A FAVOR</w:t>
      </w:r>
    </w:p>
    <w:p w:rsidR="00B35323" w:rsidRDefault="00EB55A4">
      <w:pPr>
        <w:spacing w:after="0" w:line="240" w:lineRule="auto"/>
        <w:ind w:left="3540" w:firstLine="708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ANA MARÍA CARPIO MENDOZA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REGIDORA</w:t>
      </w:r>
    </w:p>
    <w:p w:rsidR="00B35323" w:rsidRDefault="00B35323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A FAVOR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ALFONSO DE JESÚS OROZCO ALDRETE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</w:t>
      </w:r>
    </w:p>
    <w:p w:rsidR="00B35323" w:rsidRDefault="00B35323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</w:p>
    <w:p w:rsidR="00B35323" w:rsidRDefault="00B35323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EN CONTRA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GABRIELA DEL CARMEN ECHEVERRÍA GONZÁLEZ</w:t>
      </w:r>
    </w:p>
    <w:p w:rsidR="00B35323" w:rsidRDefault="00EB55A4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REGIDORA</w:t>
      </w:r>
    </w:p>
    <w:p w:rsidR="00B35323" w:rsidRDefault="00B35323">
      <w:pPr>
        <w:spacing w:after="0" w:line="240" w:lineRule="auto"/>
        <w:jc w:val="right"/>
        <w:rPr>
          <w:rFonts w:ascii="Arial" w:eastAsia="Arial" w:hAnsi="Arial" w:cs="Arial"/>
          <w:sz w:val="26"/>
          <w:szCs w:val="26"/>
        </w:rPr>
      </w:pP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B35323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VOTO EN CONTRA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FERNANDA ODETTE RENTERÍA MUÑOZ</w:t>
      </w:r>
    </w:p>
    <w:p w:rsidR="00B35323" w:rsidRDefault="00EB55A4">
      <w:pPr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REGIDORA</w:t>
      </w:r>
    </w:p>
    <w:sectPr w:rsidR="00B35323">
      <w:headerReference w:type="default" r:id="rId7"/>
      <w:footerReference w:type="default" r:id="rId8"/>
      <w:pgSz w:w="12240" w:h="15840"/>
      <w:pgMar w:top="1134" w:right="1701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A4" w:rsidRDefault="00EB55A4">
      <w:pPr>
        <w:spacing w:after="0" w:line="240" w:lineRule="auto"/>
      </w:pPr>
      <w:r>
        <w:separator/>
      </w:r>
    </w:p>
  </w:endnote>
  <w:endnote w:type="continuationSeparator" w:id="0">
    <w:p w:rsidR="00EB55A4" w:rsidRDefault="00EB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23" w:rsidRDefault="00EB55A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color w:val="000000"/>
        <w:sz w:val="12"/>
        <w:szCs w:val="12"/>
      </w:rPr>
    </w:pPr>
    <w:r>
      <w:rPr>
        <w:color w:val="000000"/>
        <w:sz w:val="12"/>
        <w:szCs w:val="12"/>
      </w:rPr>
      <w:t>LA PRESENTE HOJA FORMA PARTE DEL DICTAMEN MEDIANTE EL CUAL SE AUTORIZA MODIFICAR LOS CUADROS BÁSICOS DE LOS JUZGADOS ADMINISTRATIVOS MUNICIPALES, ASÍ COMO DE LAS DIRECCIONES GENERALES  DE GOBIERNO Y ASUNTOS JURÍDICOS.</w:t>
    </w:r>
  </w:p>
  <w:p w:rsidR="00B35323" w:rsidRDefault="00EB55A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color w:val="000000"/>
        <w:sz w:val="12"/>
        <w:szCs w:val="12"/>
      </w:rPr>
    </w:pPr>
    <w:r>
      <w:rPr>
        <w:color w:val="000000"/>
        <w:sz w:val="12"/>
        <w:szCs w:val="12"/>
      </w:rPr>
      <w:t>JMJM/JARZ/IGPC</w:t>
    </w:r>
  </w:p>
  <w:p w:rsidR="00B35323" w:rsidRDefault="00B35323">
    <w:pPr>
      <w:spacing w:line="240" w:lineRule="auto"/>
      <w:jc w:val="both"/>
    </w:pPr>
  </w:p>
  <w:p w:rsidR="00B35323" w:rsidRDefault="00B35323">
    <w:pPr>
      <w:spacing w:after="0" w:line="240" w:lineRule="auto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A4" w:rsidRDefault="00EB55A4">
      <w:pPr>
        <w:spacing w:after="0" w:line="240" w:lineRule="auto"/>
      </w:pPr>
      <w:r>
        <w:separator/>
      </w:r>
    </w:p>
  </w:footnote>
  <w:footnote w:type="continuationSeparator" w:id="0">
    <w:p w:rsidR="00EB55A4" w:rsidRDefault="00EB5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23" w:rsidRDefault="00EB55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drawing>
        <wp:inline distT="0" distB="0" distL="114300" distR="114300">
          <wp:extent cx="1207135" cy="77025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7135" cy="7702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01FE8"/>
    <w:multiLevelType w:val="multilevel"/>
    <w:tmpl w:val="5AE0A04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23"/>
    <w:rsid w:val="00904DA5"/>
    <w:rsid w:val="00B35323"/>
    <w:rsid w:val="00EB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60417-F6BA-4B86-959F-AC18E286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 Isabel Valles Rios</dc:creator>
  <cp:lastModifiedBy>Ma Isabel Valles Rios</cp:lastModifiedBy>
  <cp:revision>2</cp:revision>
  <dcterms:created xsi:type="dcterms:W3CDTF">2021-02-24T20:31:00Z</dcterms:created>
  <dcterms:modified xsi:type="dcterms:W3CDTF">2021-02-24T20:31:00Z</dcterms:modified>
</cp:coreProperties>
</file>