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494" w:rsidRPr="00182F0E" w:rsidRDefault="00E81494" w:rsidP="00E67D65">
      <w:pPr>
        <w:pStyle w:val="Ttulo2"/>
        <w:spacing w:before="0" w:line="240" w:lineRule="auto"/>
        <w:ind w:left="-142"/>
        <w:jc w:val="both"/>
        <w:rPr>
          <w:rFonts w:ascii="Arial" w:hAnsi="Arial" w:cs="Arial"/>
          <w:b/>
          <w:color w:val="auto"/>
          <w:sz w:val="25"/>
          <w:szCs w:val="25"/>
        </w:rPr>
      </w:pPr>
      <w:bookmarkStart w:id="0" w:name="_GoBack"/>
      <w:bookmarkEnd w:id="0"/>
    </w:p>
    <w:p w:rsidR="00E81494" w:rsidRPr="00182F0E" w:rsidRDefault="00E81494" w:rsidP="00E67D65">
      <w:pPr>
        <w:pStyle w:val="Ttulo2"/>
        <w:spacing w:before="0" w:line="240" w:lineRule="auto"/>
        <w:ind w:left="-142"/>
        <w:jc w:val="both"/>
        <w:rPr>
          <w:rFonts w:ascii="Arial" w:hAnsi="Arial" w:cs="Arial"/>
          <w:b/>
          <w:color w:val="auto"/>
          <w:sz w:val="25"/>
          <w:szCs w:val="25"/>
        </w:rPr>
      </w:pPr>
    </w:p>
    <w:p w:rsidR="00181A71" w:rsidRPr="00182F0E" w:rsidRDefault="00181A71" w:rsidP="00E67D65">
      <w:pPr>
        <w:pStyle w:val="Ttulo2"/>
        <w:spacing w:before="0" w:line="240" w:lineRule="auto"/>
        <w:ind w:left="-142"/>
        <w:jc w:val="both"/>
        <w:rPr>
          <w:rFonts w:ascii="Arial" w:hAnsi="Arial" w:cs="Arial"/>
          <w:b/>
          <w:color w:val="auto"/>
          <w:sz w:val="25"/>
          <w:szCs w:val="25"/>
        </w:rPr>
      </w:pPr>
      <w:r w:rsidRPr="00182F0E">
        <w:rPr>
          <w:rFonts w:ascii="Arial" w:hAnsi="Arial" w:cs="Arial"/>
          <w:b/>
          <w:color w:val="auto"/>
          <w:sz w:val="25"/>
          <w:szCs w:val="25"/>
        </w:rPr>
        <w:t>H. AYUNTAMIENTO DE LEÓN, GUANAJUATO</w:t>
      </w:r>
    </w:p>
    <w:p w:rsidR="00181A71" w:rsidRPr="00182F0E" w:rsidRDefault="00181A71" w:rsidP="00E67D65">
      <w:pPr>
        <w:pStyle w:val="Ttulo2"/>
        <w:spacing w:before="0" w:line="240" w:lineRule="auto"/>
        <w:ind w:left="-142"/>
        <w:jc w:val="both"/>
        <w:rPr>
          <w:rFonts w:ascii="Arial" w:hAnsi="Arial" w:cs="Arial"/>
          <w:b/>
          <w:color w:val="auto"/>
          <w:sz w:val="25"/>
          <w:szCs w:val="25"/>
        </w:rPr>
      </w:pPr>
      <w:r w:rsidRPr="00182F0E">
        <w:rPr>
          <w:rFonts w:ascii="Arial" w:hAnsi="Arial" w:cs="Arial"/>
          <w:b/>
          <w:color w:val="auto"/>
          <w:sz w:val="25"/>
          <w:szCs w:val="25"/>
        </w:rPr>
        <w:t>P R E S E N T E</w:t>
      </w:r>
    </w:p>
    <w:p w:rsidR="00181A71" w:rsidRPr="00182F0E" w:rsidRDefault="00181A71" w:rsidP="00E67D65">
      <w:pPr>
        <w:spacing w:after="0" w:line="240" w:lineRule="auto"/>
        <w:jc w:val="both"/>
        <w:rPr>
          <w:rFonts w:ascii="Arial" w:hAnsi="Arial" w:cs="Arial"/>
          <w:sz w:val="25"/>
          <w:szCs w:val="25"/>
        </w:rPr>
      </w:pPr>
    </w:p>
    <w:p w:rsidR="00181A71" w:rsidRPr="00182F0E" w:rsidRDefault="00181A71" w:rsidP="00E67D65">
      <w:pPr>
        <w:pStyle w:val="Ttulo2"/>
        <w:spacing w:before="0" w:line="240" w:lineRule="auto"/>
        <w:ind w:left="-142"/>
        <w:jc w:val="both"/>
        <w:rPr>
          <w:rFonts w:ascii="Arial" w:hAnsi="Arial" w:cs="Arial"/>
          <w:color w:val="auto"/>
          <w:sz w:val="25"/>
          <w:szCs w:val="25"/>
        </w:rPr>
      </w:pPr>
      <w:r w:rsidRPr="00182F0E">
        <w:rPr>
          <w:rFonts w:ascii="Arial" w:hAnsi="Arial" w:cs="Arial"/>
          <w:color w:val="auto"/>
          <w:sz w:val="25"/>
          <w:szCs w:val="25"/>
        </w:rPr>
        <w:t xml:space="preserve">Quienes integramos la </w:t>
      </w:r>
      <w:r w:rsidRPr="00182F0E">
        <w:rPr>
          <w:rFonts w:ascii="Arial" w:hAnsi="Arial" w:cs="Arial"/>
          <w:b/>
          <w:color w:val="auto"/>
          <w:sz w:val="25"/>
          <w:szCs w:val="25"/>
        </w:rPr>
        <w:t xml:space="preserve">Comisión de Gobierno, Seguridad Pública y Tránsito, </w:t>
      </w:r>
      <w:r w:rsidRPr="00182F0E">
        <w:rPr>
          <w:rFonts w:ascii="Arial" w:hAnsi="Arial" w:cs="Arial"/>
          <w:color w:val="auto"/>
          <w:sz w:val="25"/>
          <w:szCs w:val="25"/>
        </w:rPr>
        <w:t xml:space="preserve">con fundamento en lo dispuesto por los artículos 81 de la Ley Orgánica Municipal para el Estado de Guanajuato; </w:t>
      </w:r>
      <w:r w:rsidR="00061270" w:rsidRPr="00182F0E">
        <w:rPr>
          <w:rFonts w:ascii="Arial" w:hAnsi="Arial" w:cs="Arial"/>
          <w:color w:val="auto"/>
          <w:sz w:val="25"/>
          <w:szCs w:val="25"/>
        </w:rPr>
        <w:t>50</w:t>
      </w:r>
      <w:r w:rsidRPr="00182F0E">
        <w:rPr>
          <w:rFonts w:ascii="Arial" w:hAnsi="Arial" w:cs="Arial"/>
          <w:color w:val="auto"/>
          <w:sz w:val="25"/>
          <w:szCs w:val="25"/>
        </w:rPr>
        <w:t xml:space="preserve">, </w:t>
      </w:r>
      <w:r w:rsidR="00061270" w:rsidRPr="00182F0E">
        <w:rPr>
          <w:rFonts w:ascii="Arial" w:hAnsi="Arial" w:cs="Arial"/>
          <w:color w:val="auto"/>
          <w:sz w:val="25"/>
          <w:szCs w:val="25"/>
        </w:rPr>
        <w:t>70 y 7</w:t>
      </w:r>
      <w:r w:rsidRPr="00182F0E">
        <w:rPr>
          <w:rFonts w:ascii="Arial" w:hAnsi="Arial" w:cs="Arial"/>
          <w:color w:val="auto"/>
          <w:sz w:val="25"/>
          <w:szCs w:val="25"/>
        </w:rPr>
        <w:t xml:space="preserve">1 del Reglamento Interior del H. Ayuntamiento de León, Guanajuato, sometemos a consideración de este Cuerpo Edilicio, la propuesta de acuerdo que se formula al final del presente dictamen, con base en las siguientes: </w:t>
      </w:r>
    </w:p>
    <w:p w:rsidR="00533548" w:rsidRPr="00182F0E" w:rsidRDefault="00533548" w:rsidP="00E67D65">
      <w:pPr>
        <w:pStyle w:val="Textoindependiente3"/>
        <w:spacing w:after="0" w:line="240" w:lineRule="auto"/>
        <w:ind w:left="-142" w:right="-142"/>
        <w:jc w:val="center"/>
        <w:rPr>
          <w:rFonts w:ascii="Arial" w:hAnsi="Arial" w:cs="Arial"/>
          <w:b/>
          <w:sz w:val="25"/>
          <w:szCs w:val="25"/>
        </w:rPr>
      </w:pPr>
    </w:p>
    <w:p w:rsidR="00E81494" w:rsidRPr="00182F0E" w:rsidRDefault="00E81494" w:rsidP="00E67D65">
      <w:pPr>
        <w:pStyle w:val="Textoindependiente3"/>
        <w:spacing w:after="0" w:line="240" w:lineRule="auto"/>
        <w:ind w:left="-142" w:right="-142"/>
        <w:jc w:val="center"/>
        <w:rPr>
          <w:rFonts w:ascii="Arial" w:hAnsi="Arial" w:cs="Arial"/>
          <w:b/>
          <w:sz w:val="25"/>
          <w:szCs w:val="25"/>
        </w:rPr>
      </w:pPr>
    </w:p>
    <w:p w:rsidR="00533548" w:rsidRPr="00182F0E" w:rsidRDefault="00181A71" w:rsidP="00E67D65">
      <w:pPr>
        <w:pStyle w:val="Textoindependiente3"/>
        <w:spacing w:after="0" w:line="240" w:lineRule="auto"/>
        <w:ind w:left="-142" w:right="-142"/>
        <w:jc w:val="center"/>
        <w:rPr>
          <w:rFonts w:ascii="Arial" w:hAnsi="Arial" w:cs="Arial"/>
          <w:b/>
          <w:sz w:val="25"/>
          <w:szCs w:val="25"/>
        </w:rPr>
      </w:pPr>
      <w:r w:rsidRPr="00182F0E">
        <w:rPr>
          <w:rFonts w:ascii="Arial" w:hAnsi="Arial" w:cs="Arial"/>
          <w:b/>
          <w:sz w:val="25"/>
          <w:szCs w:val="25"/>
        </w:rPr>
        <w:t>CONSIDERACIONES</w:t>
      </w:r>
    </w:p>
    <w:p w:rsidR="009D0523" w:rsidRPr="00182F0E" w:rsidRDefault="009D0523" w:rsidP="00E67D65">
      <w:pPr>
        <w:pStyle w:val="Textoindependiente3"/>
        <w:spacing w:after="0" w:line="240" w:lineRule="auto"/>
        <w:ind w:left="-142" w:right="-142"/>
        <w:jc w:val="center"/>
        <w:rPr>
          <w:rFonts w:ascii="Arial" w:hAnsi="Arial" w:cs="Arial"/>
          <w:b/>
          <w:sz w:val="25"/>
          <w:szCs w:val="25"/>
        </w:rPr>
      </w:pPr>
    </w:p>
    <w:p w:rsidR="00181A71" w:rsidRPr="00182F0E" w:rsidRDefault="00181A71" w:rsidP="00E67D65">
      <w:pPr>
        <w:tabs>
          <w:tab w:val="left" w:pos="5648"/>
        </w:tabs>
        <w:spacing w:after="0" w:line="240" w:lineRule="auto"/>
        <w:jc w:val="both"/>
        <w:rPr>
          <w:rFonts w:ascii="Arial" w:hAnsi="Arial" w:cs="Arial"/>
          <w:sz w:val="25"/>
          <w:szCs w:val="25"/>
        </w:rPr>
      </w:pPr>
    </w:p>
    <w:p w:rsidR="00E40FC9" w:rsidRPr="00410396" w:rsidRDefault="00181A71" w:rsidP="00410396">
      <w:pPr>
        <w:pStyle w:val="Ttulo2"/>
        <w:numPr>
          <w:ilvl w:val="0"/>
          <w:numId w:val="5"/>
        </w:numPr>
        <w:spacing w:before="0" w:line="240" w:lineRule="auto"/>
        <w:ind w:left="0" w:firstLine="360"/>
        <w:jc w:val="both"/>
        <w:rPr>
          <w:rFonts w:ascii="Arial" w:hAnsi="Arial" w:cs="Arial"/>
          <w:color w:val="auto"/>
          <w:sz w:val="25"/>
          <w:szCs w:val="25"/>
          <w:lang w:val="es-ES"/>
        </w:rPr>
      </w:pPr>
      <w:r w:rsidRPr="00182F0E">
        <w:rPr>
          <w:rFonts w:ascii="Arial" w:hAnsi="Arial" w:cs="Arial"/>
          <w:color w:val="auto"/>
          <w:sz w:val="25"/>
          <w:szCs w:val="25"/>
        </w:rPr>
        <w:t xml:space="preserve">Por acuerdo de la Comisión de </w:t>
      </w:r>
      <w:r w:rsidR="001223DC" w:rsidRPr="00182F0E">
        <w:rPr>
          <w:rFonts w:ascii="Arial" w:hAnsi="Arial" w:cs="Arial"/>
          <w:color w:val="auto"/>
          <w:sz w:val="25"/>
          <w:szCs w:val="25"/>
        </w:rPr>
        <w:t xml:space="preserve">Seguridad Pública y Comunicaciones </w:t>
      </w:r>
      <w:r w:rsidRPr="00182F0E">
        <w:rPr>
          <w:rFonts w:ascii="Arial" w:hAnsi="Arial" w:cs="Arial"/>
          <w:color w:val="auto"/>
          <w:sz w:val="25"/>
          <w:szCs w:val="25"/>
        </w:rPr>
        <w:t xml:space="preserve">de la Sexagésima </w:t>
      </w:r>
      <w:r w:rsidR="00E16F01" w:rsidRPr="00182F0E">
        <w:rPr>
          <w:rFonts w:ascii="Arial" w:hAnsi="Arial" w:cs="Arial"/>
          <w:color w:val="auto"/>
          <w:sz w:val="25"/>
          <w:szCs w:val="25"/>
        </w:rPr>
        <w:t xml:space="preserve">Cuarta </w:t>
      </w:r>
      <w:r w:rsidRPr="00182F0E">
        <w:rPr>
          <w:rFonts w:ascii="Arial" w:hAnsi="Arial" w:cs="Arial"/>
          <w:color w:val="auto"/>
          <w:sz w:val="25"/>
          <w:szCs w:val="25"/>
        </w:rPr>
        <w:t>Legislat</w:t>
      </w:r>
      <w:r w:rsidR="00410396">
        <w:rPr>
          <w:rFonts w:ascii="Arial" w:hAnsi="Arial" w:cs="Arial"/>
          <w:color w:val="auto"/>
          <w:sz w:val="25"/>
          <w:szCs w:val="25"/>
        </w:rPr>
        <w:t xml:space="preserve">ura del H. Congreso del Estado se </w:t>
      </w:r>
      <w:r w:rsidRPr="00410396">
        <w:rPr>
          <w:rFonts w:ascii="Arial" w:hAnsi="Arial" w:cs="Arial"/>
          <w:color w:val="auto"/>
          <w:sz w:val="25"/>
          <w:szCs w:val="25"/>
        </w:rPr>
        <w:t>remitió a este Ayu</w:t>
      </w:r>
      <w:r w:rsidR="00B8008B" w:rsidRPr="00410396">
        <w:rPr>
          <w:rFonts w:ascii="Arial" w:hAnsi="Arial" w:cs="Arial"/>
          <w:color w:val="auto"/>
          <w:sz w:val="25"/>
          <w:szCs w:val="25"/>
        </w:rPr>
        <w:t>ntamiento la</w:t>
      </w:r>
      <w:r w:rsidRPr="00410396">
        <w:rPr>
          <w:rFonts w:ascii="Arial" w:hAnsi="Arial" w:cs="Arial"/>
          <w:color w:val="auto"/>
          <w:sz w:val="25"/>
          <w:szCs w:val="25"/>
        </w:rPr>
        <w:t xml:space="preserve"> </w:t>
      </w:r>
      <w:r w:rsidR="00297833" w:rsidRPr="00410396">
        <w:rPr>
          <w:rFonts w:ascii="Arial" w:hAnsi="Arial" w:cs="Arial"/>
          <w:b/>
          <w:i/>
          <w:color w:val="auto"/>
          <w:sz w:val="25"/>
          <w:szCs w:val="25"/>
        </w:rPr>
        <w:t xml:space="preserve">Iniciativa </w:t>
      </w:r>
      <w:r w:rsidR="00743456" w:rsidRPr="00410396">
        <w:rPr>
          <w:rFonts w:ascii="Arial" w:hAnsi="Arial" w:cs="Arial"/>
          <w:b/>
          <w:bCs/>
          <w:i/>
          <w:color w:val="222222"/>
          <w:sz w:val="25"/>
          <w:szCs w:val="25"/>
          <w:shd w:val="clear" w:color="auto" w:fill="FFFFFF"/>
          <w:lang w:val="es-ES_tradnl"/>
        </w:rPr>
        <w:t>de reformas a </w:t>
      </w:r>
      <w:r w:rsidR="00743456" w:rsidRPr="00410396">
        <w:rPr>
          <w:rFonts w:ascii="Arial" w:hAnsi="Arial" w:cs="Arial"/>
          <w:b/>
          <w:bCs/>
          <w:i/>
          <w:color w:val="222222"/>
          <w:sz w:val="25"/>
          <w:szCs w:val="25"/>
          <w:shd w:val="clear" w:color="auto" w:fill="FFFFFF"/>
        </w:rPr>
        <w:t>la fracción XV del artículo 44 y adición de un tercer y cuarto párrafos al artículo 52 a la Ley del Sistema de Seguridad Pública del Estado de Guanajuato</w:t>
      </w:r>
      <w:r w:rsidR="00743456" w:rsidRPr="00410396">
        <w:rPr>
          <w:rFonts w:ascii="Arial" w:hAnsi="Arial" w:cs="Arial"/>
          <w:color w:val="222222"/>
          <w:sz w:val="25"/>
          <w:szCs w:val="25"/>
          <w:shd w:val="clear" w:color="auto" w:fill="FFFFFF"/>
          <w:lang w:val="es-ES_tradnl"/>
        </w:rPr>
        <w:t>, </w:t>
      </w:r>
      <w:r w:rsidR="00743456" w:rsidRPr="00410396">
        <w:rPr>
          <w:rFonts w:ascii="Arial" w:hAnsi="Arial" w:cs="Arial"/>
          <w:color w:val="222222"/>
          <w:sz w:val="25"/>
          <w:szCs w:val="25"/>
          <w:shd w:val="clear" w:color="auto" w:fill="FFFFFF"/>
        </w:rPr>
        <w:t>formulada por el Grupo Parlamentario del Partido Acción Nacional</w:t>
      </w:r>
      <w:r w:rsidR="00C35A12" w:rsidRPr="00410396">
        <w:rPr>
          <w:rFonts w:ascii="Arial" w:hAnsi="Arial" w:cs="Arial"/>
          <w:i/>
          <w:color w:val="auto"/>
          <w:sz w:val="25"/>
          <w:szCs w:val="25"/>
          <w:lang w:val="es-ES"/>
        </w:rPr>
        <w:t>,</w:t>
      </w:r>
      <w:r w:rsidRPr="00410396">
        <w:rPr>
          <w:rFonts w:ascii="Arial" w:hAnsi="Arial" w:cs="Arial"/>
          <w:b/>
          <w:i/>
          <w:color w:val="auto"/>
          <w:sz w:val="25"/>
          <w:szCs w:val="25"/>
          <w:lang w:val="es-ES"/>
        </w:rPr>
        <w:t xml:space="preserve"> </w:t>
      </w:r>
      <w:r w:rsidRPr="00410396">
        <w:rPr>
          <w:rFonts w:ascii="Arial" w:hAnsi="Arial" w:cs="Arial"/>
          <w:color w:val="auto"/>
          <w:sz w:val="25"/>
          <w:szCs w:val="25"/>
          <w:lang w:val="es-ES"/>
        </w:rPr>
        <w:t xml:space="preserve">a efecto de que como parte de la metodología aprobada se </w:t>
      </w:r>
      <w:r w:rsidR="00410396">
        <w:rPr>
          <w:rFonts w:ascii="Arial" w:hAnsi="Arial" w:cs="Arial"/>
          <w:color w:val="auto"/>
          <w:sz w:val="25"/>
          <w:szCs w:val="25"/>
          <w:lang w:val="es-ES"/>
        </w:rPr>
        <w:t>realicen</w:t>
      </w:r>
      <w:r w:rsidRPr="00410396">
        <w:rPr>
          <w:rFonts w:ascii="Arial" w:hAnsi="Arial" w:cs="Arial"/>
          <w:color w:val="auto"/>
          <w:sz w:val="25"/>
          <w:szCs w:val="25"/>
          <w:lang w:val="es-ES"/>
        </w:rPr>
        <w:t xml:space="preserve"> </w:t>
      </w:r>
      <w:r w:rsidR="00B8008B" w:rsidRPr="00410396">
        <w:rPr>
          <w:rFonts w:ascii="Arial" w:hAnsi="Arial" w:cs="Arial"/>
          <w:color w:val="auto"/>
          <w:sz w:val="25"/>
          <w:szCs w:val="25"/>
          <w:lang w:val="es-ES"/>
        </w:rPr>
        <w:t>observaciones y propuestas a la misma.</w:t>
      </w:r>
    </w:p>
    <w:p w:rsidR="00E40FC9" w:rsidRPr="00182F0E" w:rsidRDefault="00E40FC9" w:rsidP="00E67D65">
      <w:pPr>
        <w:spacing w:after="0" w:line="240" w:lineRule="auto"/>
        <w:rPr>
          <w:rFonts w:ascii="Arial" w:hAnsi="Arial" w:cs="Arial"/>
          <w:sz w:val="25"/>
          <w:szCs w:val="25"/>
          <w:lang w:val="es-ES"/>
        </w:rPr>
      </w:pPr>
    </w:p>
    <w:p w:rsidR="00CC063F" w:rsidRPr="00182F0E" w:rsidRDefault="00B8008B" w:rsidP="00E67D65">
      <w:pPr>
        <w:pStyle w:val="Ttulo2"/>
        <w:numPr>
          <w:ilvl w:val="0"/>
          <w:numId w:val="5"/>
        </w:numPr>
        <w:spacing w:before="0" w:line="240" w:lineRule="auto"/>
        <w:ind w:left="0" w:firstLine="360"/>
        <w:jc w:val="both"/>
        <w:rPr>
          <w:rFonts w:ascii="Arial" w:hAnsi="Arial" w:cs="Arial"/>
          <w:sz w:val="25"/>
          <w:szCs w:val="25"/>
        </w:rPr>
      </w:pPr>
      <w:r w:rsidRPr="00182F0E">
        <w:rPr>
          <w:rFonts w:ascii="Arial" w:hAnsi="Arial" w:cs="Arial"/>
          <w:color w:val="auto"/>
          <w:sz w:val="25"/>
          <w:szCs w:val="25"/>
          <w:lang w:val="es-ES"/>
        </w:rPr>
        <w:t xml:space="preserve">Dicha iniciativa, de acuerdo a su </w:t>
      </w:r>
      <w:r w:rsidR="00CC063F" w:rsidRPr="00182F0E">
        <w:rPr>
          <w:rFonts w:ascii="Arial" w:hAnsi="Arial" w:cs="Arial"/>
          <w:color w:val="auto"/>
          <w:sz w:val="25"/>
          <w:szCs w:val="25"/>
        </w:rPr>
        <w:t xml:space="preserve">exposición de motivos, </w:t>
      </w:r>
      <w:r w:rsidRPr="00182F0E">
        <w:rPr>
          <w:rFonts w:ascii="Arial" w:hAnsi="Arial" w:cs="Arial"/>
          <w:color w:val="auto"/>
          <w:sz w:val="25"/>
          <w:szCs w:val="25"/>
        </w:rPr>
        <w:t xml:space="preserve">tiene como </w:t>
      </w:r>
      <w:r w:rsidR="00CC063F" w:rsidRPr="00182F0E">
        <w:rPr>
          <w:rFonts w:ascii="Arial" w:hAnsi="Arial" w:cs="Arial"/>
          <w:color w:val="auto"/>
          <w:sz w:val="25"/>
          <w:szCs w:val="25"/>
        </w:rPr>
        <w:t xml:space="preserve">objetivo </w:t>
      </w:r>
      <w:r w:rsidR="000A4116" w:rsidRPr="00182F0E">
        <w:rPr>
          <w:rFonts w:ascii="Arial" w:hAnsi="Arial" w:cs="Arial"/>
          <w:color w:val="auto"/>
          <w:sz w:val="25"/>
          <w:szCs w:val="25"/>
          <w:shd w:val="clear" w:color="auto" w:fill="FFFFFF"/>
        </w:rPr>
        <w:t xml:space="preserve">establecer </w:t>
      </w:r>
      <w:r w:rsidR="00D14192" w:rsidRPr="00182F0E">
        <w:rPr>
          <w:rFonts w:ascii="Arial" w:hAnsi="Arial" w:cs="Arial"/>
          <w:color w:val="222222"/>
          <w:sz w:val="25"/>
          <w:szCs w:val="25"/>
          <w:shd w:val="clear" w:color="auto" w:fill="FFFFFF"/>
        </w:rPr>
        <w:t xml:space="preserve">que </w:t>
      </w:r>
      <w:r w:rsidR="00410396">
        <w:rPr>
          <w:rFonts w:ascii="Arial" w:hAnsi="Arial" w:cs="Arial"/>
          <w:color w:val="222222"/>
          <w:sz w:val="25"/>
          <w:szCs w:val="25"/>
          <w:shd w:val="clear" w:color="auto" w:fill="FFFFFF"/>
        </w:rPr>
        <w:t xml:space="preserve">la obligación para someterse a las </w:t>
      </w:r>
      <w:r w:rsidR="00D14192" w:rsidRPr="00182F0E">
        <w:rPr>
          <w:rFonts w:ascii="Arial" w:hAnsi="Arial" w:cs="Arial"/>
          <w:color w:val="222222"/>
          <w:sz w:val="25"/>
          <w:szCs w:val="25"/>
          <w:shd w:val="clear" w:color="auto" w:fill="FFFFFF"/>
        </w:rPr>
        <w:t xml:space="preserve">evaluaciones de control de confianza </w:t>
      </w:r>
      <w:r w:rsidR="00410396">
        <w:rPr>
          <w:rFonts w:ascii="Arial" w:hAnsi="Arial" w:cs="Arial"/>
          <w:color w:val="222222"/>
          <w:sz w:val="25"/>
          <w:szCs w:val="25"/>
          <w:shd w:val="clear" w:color="auto" w:fill="FFFFFF"/>
        </w:rPr>
        <w:t xml:space="preserve">se configuren cuando </w:t>
      </w:r>
      <w:r w:rsidR="00D14192" w:rsidRPr="00182F0E">
        <w:rPr>
          <w:rFonts w:ascii="Arial" w:hAnsi="Arial" w:cs="Arial"/>
          <w:color w:val="222222"/>
          <w:sz w:val="25"/>
          <w:szCs w:val="25"/>
          <w:shd w:val="clear" w:color="auto" w:fill="FFFFFF"/>
        </w:rPr>
        <w:t>sean ordenadas por los superiores jerárquicos, sin es</w:t>
      </w:r>
      <w:r w:rsidR="00410396">
        <w:rPr>
          <w:rFonts w:ascii="Arial" w:hAnsi="Arial" w:cs="Arial"/>
          <w:color w:val="222222"/>
          <w:sz w:val="25"/>
          <w:szCs w:val="25"/>
          <w:shd w:val="clear" w:color="auto" w:fill="FFFFFF"/>
        </w:rPr>
        <w:t>perar al término de la vigencia;</w:t>
      </w:r>
      <w:r w:rsidR="00D14192" w:rsidRPr="00182F0E">
        <w:rPr>
          <w:rFonts w:ascii="Arial" w:hAnsi="Arial" w:cs="Arial"/>
          <w:color w:val="222222"/>
          <w:sz w:val="25"/>
          <w:szCs w:val="25"/>
          <w:shd w:val="clear" w:color="auto" w:fill="FFFFFF"/>
        </w:rPr>
        <w:t xml:space="preserve"> además </w:t>
      </w:r>
      <w:r w:rsidR="00410396">
        <w:rPr>
          <w:rFonts w:ascii="Arial" w:hAnsi="Arial" w:cs="Arial"/>
          <w:color w:val="222222"/>
          <w:sz w:val="25"/>
          <w:szCs w:val="25"/>
          <w:shd w:val="clear" w:color="auto" w:fill="FFFFFF"/>
        </w:rPr>
        <w:t xml:space="preserve">se modifica la vigencia de dichas evaluaciones para </w:t>
      </w:r>
      <w:r w:rsidR="00D14192" w:rsidRPr="00182F0E">
        <w:rPr>
          <w:rFonts w:ascii="Arial" w:hAnsi="Arial" w:cs="Arial"/>
          <w:color w:val="222222"/>
          <w:sz w:val="25"/>
          <w:szCs w:val="25"/>
          <w:shd w:val="clear" w:color="auto" w:fill="FFFFFF"/>
        </w:rPr>
        <w:t>el personal que desempeña funciones de mando, puestos sensibles por función, acceso</w:t>
      </w:r>
      <w:r w:rsidR="00410396">
        <w:rPr>
          <w:rFonts w:ascii="Arial" w:hAnsi="Arial" w:cs="Arial"/>
          <w:color w:val="222222"/>
          <w:sz w:val="25"/>
          <w:szCs w:val="25"/>
          <w:shd w:val="clear" w:color="auto" w:fill="FFFFFF"/>
        </w:rPr>
        <w:t xml:space="preserve"> a información o contexto de forma semestral</w:t>
      </w:r>
      <w:r w:rsidR="000A4116" w:rsidRPr="00182F0E">
        <w:rPr>
          <w:rFonts w:ascii="Arial" w:hAnsi="Arial" w:cs="Arial"/>
          <w:sz w:val="25"/>
          <w:szCs w:val="25"/>
        </w:rPr>
        <w:t>.</w:t>
      </w:r>
    </w:p>
    <w:p w:rsidR="000A4116" w:rsidRPr="00182F0E" w:rsidRDefault="000A4116" w:rsidP="00E67D65">
      <w:pPr>
        <w:spacing w:after="0" w:line="240" w:lineRule="auto"/>
        <w:rPr>
          <w:rFonts w:ascii="Arial" w:hAnsi="Arial" w:cs="Arial"/>
          <w:sz w:val="25"/>
          <w:szCs w:val="25"/>
        </w:rPr>
      </w:pPr>
    </w:p>
    <w:p w:rsidR="00B8008B" w:rsidRPr="00182F0E" w:rsidRDefault="00B8008B" w:rsidP="00E67D65">
      <w:pPr>
        <w:pStyle w:val="Prrafodelista"/>
        <w:numPr>
          <w:ilvl w:val="0"/>
          <w:numId w:val="5"/>
        </w:numPr>
        <w:spacing w:after="0" w:line="240" w:lineRule="auto"/>
        <w:ind w:left="0" w:firstLine="360"/>
        <w:jc w:val="both"/>
        <w:rPr>
          <w:rFonts w:ascii="Arial" w:hAnsi="Arial" w:cs="Arial"/>
          <w:sz w:val="25"/>
          <w:szCs w:val="25"/>
        </w:rPr>
      </w:pPr>
      <w:r w:rsidRPr="00182F0E">
        <w:rPr>
          <w:rFonts w:ascii="Arial" w:hAnsi="Arial" w:cs="Arial"/>
          <w:sz w:val="25"/>
          <w:szCs w:val="25"/>
        </w:rPr>
        <w:t>Dentro de las consideraciones relevantes que plantea la iniciativa en su exposición de motivos, se encuentran las siguientes:</w:t>
      </w:r>
    </w:p>
    <w:p w:rsidR="00CC063F" w:rsidRPr="00182F0E" w:rsidRDefault="00CC063F" w:rsidP="00E67D65">
      <w:pPr>
        <w:pStyle w:val="Prrafodelista"/>
        <w:spacing w:after="0" w:line="240" w:lineRule="auto"/>
        <w:rPr>
          <w:rFonts w:ascii="Arial" w:hAnsi="Arial" w:cs="Arial"/>
          <w:sz w:val="25"/>
          <w:szCs w:val="25"/>
        </w:rPr>
      </w:pPr>
    </w:p>
    <w:p w:rsidR="00324A86" w:rsidRPr="00182F0E" w:rsidRDefault="00D14192" w:rsidP="00E67D65">
      <w:pPr>
        <w:pStyle w:val="Prrafodelista"/>
        <w:numPr>
          <w:ilvl w:val="0"/>
          <w:numId w:val="22"/>
        </w:numPr>
        <w:spacing w:after="0" w:line="240" w:lineRule="auto"/>
        <w:ind w:left="142" w:right="142" w:firstLine="425"/>
        <w:jc w:val="both"/>
        <w:rPr>
          <w:rFonts w:ascii="Arial" w:hAnsi="Arial" w:cs="Arial"/>
          <w:sz w:val="25"/>
          <w:szCs w:val="25"/>
        </w:rPr>
      </w:pPr>
      <w:r w:rsidRPr="00182F0E">
        <w:rPr>
          <w:rFonts w:ascii="Arial" w:hAnsi="Arial" w:cs="Arial"/>
          <w:sz w:val="25"/>
          <w:szCs w:val="25"/>
        </w:rPr>
        <w:t>La confianza al interior de las corporaciones, es un elemento indispensable para el éxito en las estrategias implementadas en seguridad pública, permitiendo con ello la fortaleza en las estructuras sociales en institucionales</w:t>
      </w:r>
      <w:r w:rsidR="00C14A5C" w:rsidRPr="00182F0E">
        <w:rPr>
          <w:rFonts w:ascii="Arial" w:hAnsi="Arial" w:cs="Arial"/>
          <w:sz w:val="25"/>
          <w:szCs w:val="25"/>
        </w:rPr>
        <w:t>.</w:t>
      </w:r>
    </w:p>
    <w:p w:rsidR="00324A86" w:rsidRPr="00182F0E" w:rsidRDefault="00324A86" w:rsidP="00E67D65">
      <w:pPr>
        <w:spacing w:after="0" w:line="240" w:lineRule="auto"/>
        <w:ind w:right="142"/>
        <w:jc w:val="both"/>
        <w:rPr>
          <w:rFonts w:ascii="Arial" w:hAnsi="Arial" w:cs="Arial"/>
          <w:sz w:val="25"/>
          <w:szCs w:val="25"/>
        </w:rPr>
      </w:pPr>
    </w:p>
    <w:p w:rsidR="00324A86" w:rsidRPr="00182F0E" w:rsidRDefault="00D14192" w:rsidP="00E67D65">
      <w:pPr>
        <w:pStyle w:val="Prrafodelista"/>
        <w:numPr>
          <w:ilvl w:val="0"/>
          <w:numId w:val="22"/>
        </w:numPr>
        <w:spacing w:after="0" w:line="240" w:lineRule="auto"/>
        <w:ind w:left="142" w:right="142" w:firstLine="425"/>
        <w:jc w:val="both"/>
        <w:rPr>
          <w:rFonts w:ascii="Arial" w:hAnsi="Arial" w:cs="Arial"/>
          <w:sz w:val="25"/>
          <w:szCs w:val="25"/>
        </w:rPr>
      </w:pPr>
      <w:r w:rsidRPr="00182F0E">
        <w:rPr>
          <w:rFonts w:ascii="Arial" w:hAnsi="Arial" w:cs="Arial"/>
          <w:sz w:val="25"/>
          <w:szCs w:val="25"/>
        </w:rPr>
        <w:t xml:space="preserve">La problemática actual de complicidad al interior de los distintos niveles y órdenes de gobierno que constituyen un gravísimo riesgo social, por lo que se debe redoblar esfuerzos en materia de prevención, para que quienes pretendan ingresar a las filas de las corporaciones de seguridad </w:t>
      </w:r>
      <w:r w:rsidRPr="00182F0E">
        <w:rPr>
          <w:rFonts w:ascii="Arial" w:hAnsi="Arial" w:cs="Arial"/>
          <w:sz w:val="25"/>
          <w:szCs w:val="25"/>
        </w:rPr>
        <w:lastRenderedPageBreak/>
        <w:t>pública y pretendan traicionar la confianza ciudadana, se encuentren con una administración preparada para detectarlos y cerrar oportunidades de daño</w:t>
      </w:r>
      <w:r w:rsidR="003D5844" w:rsidRPr="00182F0E">
        <w:rPr>
          <w:rFonts w:ascii="Arial" w:hAnsi="Arial" w:cs="Arial"/>
          <w:sz w:val="25"/>
          <w:szCs w:val="25"/>
        </w:rPr>
        <w:t>.</w:t>
      </w:r>
    </w:p>
    <w:p w:rsidR="00CC063F" w:rsidRPr="00182F0E" w:rsidRDefault="00CC063F" w:rsidP="00E67D65">
      <w:pPr>
        <w:pStyle w:val="Prrafodelista"/>
        <w:spacing w:after="0" w:line="240" w:lineRule="auto"/>
        <w:ind w:left="142" w:right="142" w:firstLine="425"/>
        <w:rPr>
          <w:rFonts w:ascii="Arial" w:hAnsi="Arial" w:cs="Arial"/>
          <w:sz w:val="25"/>
          <w:szCs w:val="25"/>
        </w:rPr>
      </w:pPr>
    </w:p>
    <w:p w:rsidR="00D96C0A" w:rsidRPr="00182F0E" w:rsidRDefault="00D14192" w:rsidP="00E67D65">
      <w:pPr>
        <w:pStyle w:val="Prrafodelista"/>
        <w:numPr>
          <w:ilvl w:val="0"/>
          <w:numId w:val="22"/>
        </w:numPr>
        <w:spacing w:after="0" w:line="240" w:lineRule="auto"/>
        <w:ind w:left="142" w:right="142" w:firstLine="425"/>
        <w:jc w:val="both"/>
        <w:rPr>
          <w:rFonts w:ascii="Arial" w:hAnsi="Arial" w:cs="Arial"/>
          <w:sz w:val="25"/>
          <w:szCs w:val="25"/>
        </w:rPr>
      </w:pPr>
      <w:r w:rsidRPr="00182F0E">
        <w:rPr>
          <w:rFonts w:ascii="Arial" w:hAnsi="Arial" w:cs="Arial"/>
          <w:sz w:val="25"/>
          <w:szCs w:val="25"/>
        </w:rPr>
        <w:t>La propuesta pretende que los integrantes de las instituciones de seguridad pública deban someterse a las evaluaciones de control de confianza no sólo hasta que fenezca su vigencia, sino cuando se lo ordenen sus superiores, en el caso de que existan dudas razonables sobre la confianza de su buen desempeño</w:t>
      </w:r>
      <w:r w:rsidR="00DF59C0" w:rsidRPr="00182F0E">
        <w:rPr>
          <w:rFonts w:ascii="Arial" w:hAnsi="Arial" w:cs="Arial"/>
          <w:sz w:val="25"/>
          <w:szCs w:val="25"/>
        </w:rPr>
        <w:t>.</w:t>
      </w:r>
    </w:p>
    <w:p w:rsidR="00D96C0A" w:rsidRPr="00182F0E" w:rsidRDefault="00D96C0A" w:rsidP="00E67D65">
      <w:pPr>
        <w:pStyle w:val="Prrafodelista"/>
        <w:spacing w:after="0" w:line="240" w:lineRule="auto"/>
        <w:ind w:left="142" w:firstLine="425"/>
        <w:rPr>
          <w:rFonts w:ascii="Arial" w:hAnsi="Arial" w:cs="Arial"/>
          <w:sz w:val="25"/>
          <w:szCs w:val="25"/>
        </w:rPr>
      </w:pPr>
    </w:p>
    <w:p w:rsidR="00D96C0A" w:rsidRPr="00182F0E" w:rsidRDefault="005441E4" w:rsidP="00E67D65">
      <w:pPr>
        <w:pStyle w:val="Prrafodelista"/>
        <w:spacing w:after="0" w:line="240" w:lineRule="auto"/>
        <w:ind w:left="142" w:right="142" w:firstLine="425"/>
        <w:jc w:val="both"/>
        <w:rPr>
          <w:rFonts w:ascii="Arial" w:hAnsi="Arial" w:cs="Arial"/>
          <w:sz w:val="25"/>
          <w:szCs w:val="25"/>
        </w:rPr>
      </w:pPr>
      <w:r>
        <w:rPr>
          <w:rFonts w:ascii="Arial" w:hAnsi="Arial" w:cs="Arial"/>
          <w:sz w:val="25"/>
          <w:szCs w:val="25"/>
        </w:rPr>
        <w:t>De manera complementaria</w:t>
      </w:r>
      <w:r w:rsidR="00D96C0A" w:rsidRPr="00182F0E">
        <w:rPr>
          <w:rFonts w:ascii="Arial" w:hAnsi="Arial" w:cs="Arial"/>
          <w:sz w:val="25"/>
          <w:szCs w:val="25"/>
        </w:rPr>
        <w:t xml:space="preserve"> </w:t>
      </w:r>
      <w:r w:rsidR="00D14192" w:rsidRPr="00182F0E">
        <w:rPr>
          <w:rFonts w:ascii="Arial" w:hAnsi="Arial" w:cs="Arial"/>
          <w:sz w:val="25"/>
          <w:szCs w:val="25"/>
        </w:rPr>
        <w:t>se pretende para el personal que desempeña funciones de mando, puestos sensibles por función,</w:t>
      </w:r>
      <w:r>
        <w:rPr>
          <w:rFonts w:ascii="Arial" w:hAnsi="Arial" w:cs="Arial"/>
          <w:sz w:val="25"/>
          <w:szCs w:val="25"/>
        </w:rPr>
        <w:t xml:space="preserve"> que tengan</w:t>
      </w:r>
      <w:r w:rsidR="00D14192" w:rsidRPr="00182F0E">
        <w:rPr>
          <w:rFonts w:ascii="Arial" w:hAnsi="Arial" w:cs="Arial"/>
          <w:sz w:val="25"/>
          <w:szCs w:val="25"/>
        </w:rPr>
        <w:t xml:space="preserve"> acceso a infor</w:t>
      </w:r>
      <w:r>
        <w:rPr>
          <w:rFonts w:ascii="Arial" w:hAnsi="Arial" w:cs="Arial"/>
          <w:sz w:val="25"/>
          <w:szCs w:val="25"/>
        </w:rPr>
        <w:t xml:space="preserve">mación o contexto de la entidad, </w:t>
      </w:r>
      <w:r w:rsidR="009D0523" w:rsidRPr="00182F0E">
        <w:rPr>
          <w:rFonts w:ascii="Arial" w:hAnsi="Arial" w:cs="Arial"/>
          <w:sz w:val="25"/>
          <w:szCs w:val="25"/>
        </w:rPr>
        <w:t xml:space="preserve">la obligación de realizar las evaluaciones de control de confianza </w:t>
      </w:r>
      <w:r>
        <w:rPr>
          <w:rFonts w:ascii="Arial" w:hAnsi="Arial" w:cs="Arial"/>
          <w:sz w:val="25"/>
          <w:szCs w:val="25"/>
        </w:rPr>
        <w:t xml:space="preserve">sea </w:t>
      </w:r>
      <w:r w:rsidR="009D0523" w:rsidRPr="00182F0E">
        <w:rPr>
          <w:rFonts w:ascii="Arial" w:hAnsi="Arial" w:cs="Arial"/>
          <w:sz w:val="25"/>
          <w:szCs w:val="25"/>
        </w:rPr>
        <w:t>cada seis meses</w:t>
      </w:r>
      <w:r>
        <w:rPr>
          <w:rFonts w:ascii="Arial" w:hAnsi="Arial" w:cs="Arial"/>
          <w:sz w:val="25"/>
          <w:szCs w:val="25"/>
        </w:rPr>
        <w:t xml:space="preserve"> y no de dos años como está dispuesto actualmente,</w:t>
      </w:r>
      <w:r w:rsidR="009D0523" w:rsidRPr="00182F0E">
        <w:rPr>
          <w:rFonts w:ascii="Arial" w:hAnsi="Arial" w:cs="Arial"/>
          <w:sz w:val="25"/>
          <w:szCs w:val="25"/>
        </w:rPr>
        <w:t xml:space="preserve"> con la finalidad de brindar herramientas que permitan verificar de forma constante la lealtad de los funcionarios con puestos claves en la estrategia de seguridad pública</w:t>
      </w:r>
      <w:r w:rsidR="00D96C0A" w:rsidRPr="00182F0E">
        <w:rPr>
          <w:rFonts w:ascii="Arial" w:hAnsi="Arial" w:cs="Arial"/>
          <w:sz w:val="25"/>
          <w:szCs w:val="25"/>
        </w:rPr>
        <w:t>.</w:t>
      </w:r>
    </w:p>
    <w:p w:rsidR="009D0523" w:rsidRPr="00182F0E" w:rsidRDefault="009D0523" w:rsidP="00E67D65">
      <w:pPr>
        <w:spacing w:after="0" w:line="240" w:lineRule="auto"/>
        <w:ind w:right="142"/>
        <w:jc w:val="both"/>
        <w:rPr>
          <w:rFonts w:ascii="Arial" w:hAnsi="Arial" w:cs="Arial"/>
          <w:sz w:val="25"/>
          <w:szCs w:val="25"/>
        </w:rPr>
      </w:pPr>
    </w:p>
    <w:p w:rsidR="00181A71" w:rsidRPr="00182F0E" w:rsidRDefault="00181A71" w:rsidP="00E67D65">
      <w:pPr>
        <w:spacing w:after="0" w:line="240" w:lineRule="auto"/>
        <w:ind w:left="-284"/>
        <w:jc w:val="both"/>
        <w:rPr>
          <w:rFonts w:ascii="Arial" w:hAnsi="Arial" w:cs="Arial"/>
          <w:sz w:val="25"/>
          <w:szCs w:val="25"/>
        </w:rPr>
      </w:pPr>
      <w:r w:rsidRPr="00182F0E">
        <w:rPr>
          <w:rFonts w:ascii="Arial" w:hAnsi="Arial" w:cs="Arial"/>
          <w:sz w:val="25"/>
          <w:szCs w:val="25"/>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181A71" w:rsidRPr="00182F0E" w:rsidRDefault="00181A71" w:rsidP="00E67D65">
      <w:pPr>
        <w:spacing w:after="0" w:line="240" w:lineRule="auto"/>
        <w:jc w:val="both"/>
        <w:rPr>
          <w:rFonts w:ascii="Arial" w:hAnsi="Arial" w:cs="Arial"/>
          <w:sz w:val="25"/>
          <w:szCs w:val="25"/>
        </w:rPr>
      </w:pPr>
    </w:p>
    <w:p w:rsidR="009D0523" w:rsidRPr="00182F0E" w:rsidRDefault="009D0523" w:rsidP="00E67D65">
      <w:pPr>
        <w:spacing w:after="0" w:line="240" w:lineRule="auto"/>
        <w:jc w:val="both"/>
        <w:rPr>
          <w:rFonts w:ascii="Arial" w:hAnsi="Arial" w:cs="Arial"/>
          <w:sz w:val="25"/>
          <w:szCs w:val="25"/>
        </w:rPr>
      </w:pPr>
    </w:p>
    <w:p w:rsidR="00181A71" w:rsidRPr="00182F0E" w:rsidRDefault="00181A71" w:rsidP="00E67D65">
      <w:pPr>
        <w:spacing w:after="0" w:line="240" w:lineRule="auto"/>
        <w:ind w:left="-284"/>
        <w:jc w:val="center"/>
        <w:rPr>
          <w:rFonts w:ascii="Arial" w:hAnsi="Arial" w:cs="Arial"/>
          <w:b/>
          <w:sz w:val="25"/>
          <w:szCs w:val="25"/>
          <w:lang w:val="pt-BR"/>
        </w:rPr>
      </w:pPr>
      <w:r w:rsidRPr="00182F0E">
        <w:rPr>
          <w:rFonts w:ascii="Arial" w:hAnsi="Arial" w:cs="Arial"/>
          <w:b/>
          <w:sz w:val="25"/>
          <w:szCs w:val="25"/>
          <w:lang w:val="pt-BR"/>
        </w:rPr>
        <w:t>A C U E R D O</w:t>
      </w:r>
    </w:p>
    <w:p w:rsidR="00E81494" w:rsidRPr="00182F0E" w:rsidRDefault="00E81494" w:rsidP="00E67D65">
      <w:pPr>
        <w:spacing w:after="0" w:line="240" w:lineRule="auto"/>
        <w:ind w:left="-284"/>
        <w:jc w:val="both"/>
        <w:rPr>
          <w:rFonts w:ascii="Arial" w:hAnsi="Arial" w:cs="Arial"/>
          <w:b/>
          <w:sz w:val="25"/>
          <w:szCs w:val="25"/>
          <w:lang w:val="pt-BR"/>
        </w:rPr>
      </w:pPr>
    </w:p>
    <w:p w:rsidR="00181A71" w:rsidRPr="00182F0E" w:rsidRDefault="00181A71" w:rsidP="00E67D65">
      <w:pPr>
        <w:spacing w:after="0" w:line="240" w:lineRule="auto"/>
        <w:ind w:left="-284"/>
        <w:jc w:val="both"/>
        <w:rPr>
          <w:rFonts w:ascii="Arial" w:hAnsi="Arial" w:cs="Arial"/>
          <w:sz w:val="25"/>
          <w:szCs w:val="25"/>
        </w:rPr>
      </w:pPr>
      <w:r w:rsidRPr="00182F0E">
        <w:rPr>
          <w:rFonts w:ascii="Arial" w:hAnsi="Arial" w:cs="Arial"/>
          <w:b/>
          <w:sz w:val="25"/>
          <w:szCs w:val="25"/>
        </w:rPr>
        <w:t>Único.</w:t>
      </w:r>
      <w:r w:rsidRPr="00182F0E">
        <w:rPr>
          <w:rFonts w:ascii="Arial" w:hAnsi="Arial" w:cs="Arial"/>
          <w:sz w:val="25"/>
          <w:szCs w:val="25"/>
        </w:rPr>
        <w:t xml:space="preserve"> </w:t>
      </w:r>
      <w:r w:rsidR="00435D05" w:rsidRPr="00182F0E">
        <w:rPr>
          <w:rFonts w:ascii="Arial" w:hAnsi="Arial" w:cs="Arial"/>
          <w:sz w:val="25"/>
          <w:szCs w:val="25"/>
        </w:rPr>
        <w:t xml:space="preserve">Para efectos del último párrafo del artículo 56 de la Constitución Política para el Estado de Guanajuato, envíese la respuesta correspondiente </w:t>
      </w:r>
      <w:r w:rsidR="00BB13C1" w:rsidRPr="00182F0E">
        <w:rPr>
          <w:rFonts w:ascii="Arial" w:hAnsi="Arial" w:cs="Arial"/>
          <w:b/>
          <w:sz w:val="25"/>
          <w:szCs w:val="25"/>
        </w:rPr>
        <w:t>a</w:t>
      </w:r>
      <w:r w:rsidR="00147C04" w:rsidRPr="00182F0E">
        <w:rPr>
          <w:rFonts w:ascii="Arial" w:hAnsi="Arial" w:cs="Arial"/>
          <w:b/>
          <w:sz w:val="25"/>
          <w:szCs w:val="25"/>
        </w:rPr>
        <w:t>l oficio circular</w:t>
      </w:r>
      <w:r w:rsidR="005B5898" w:rsidRPr="00182F0E">
        <w:rPr>
          <w:rFonts w:ascii="Arial" w:hAnsi="Arial" w:cs="Arial"/>
          <w:b/>
          <w:sz w:val="25"/>
          <w:szCs w:val="25"/>
        </w:rPr>
        <w:t xml:space="preserve"> número</w:t>
      </w:r>
      <w:r w:rsidR="009D0523" w:rsidRPr="00182F0E">
        <w:rPr>
          <w:rFonts w:ascii="Arial" w:hAnsi="Arial" w:cs="Arial"/>
          <w:b/>
          <w:sz w:val="25"/>
          <w:szCs w:val="25"/>
        </w:rPr>
        <w:t xml:space="preserve"> 93</w:t>
      </w:r>
      <w:r w:rsidR="00147C04" w:rsidRPr="00182F0E">
        <w:rPr>
          <w:rFonts w:ascii="Arial" w:hAnsi="Arial" w:cs="Arial"/>
          <w:b/>
          <w:sz w:val="25"/>
          <w:szCs w:val="25"/>
        </w:rPr>
        <w:t xml:space="preserve">, correspondiente a la </w:t>
      </w:r>
      <w:r w:rsidR="00F1179D" w:rsidRPr="00182F0E">
        <w:rPr>
          <w:rFonts w:ascii="Arial" w:hAnsi="Arial" w:cs="Arial"/>
          <w:b/>
          <w:sz w:val="25"/>
          <w:szCs w:val="25"/>
        </w:rPr>
        <w:t>i</w:t>
      </w:r>
      <w:r w:rsidR="00147C04" w:rsidRPr="00182F0E">
        <w:rPr>
          <w:rFonts w:ascii="Arial" w:hAnsi="Arial" w:cs="Arial"/>
          <w:b/>
          <w:sz w:val="25"/>
          <w:szCs w:val="25"/>
        </w:rPr>
        <w:t xml:space="preserve">niciativa </w:t>
      </w:r>
      <w:r w:rsidR="00485A38" w:rsidRPr="00182F0E">
        <w:rPr>
          <w:rFonts w:ascii="Arial" w:hAnsi="Arial" w:cs="Arial"/>
          <w:b/>
          <w:sz w:val="25"/>
          <w:szCs w:val="25"/>
        </w:rPr>
        <w:t xml:space="preserve">para reformar </w:t>
      </w:r>
      <w:r w:rsidR="009D0523" w:rsidRPr="00182F0E">
        <w:rPr>
          <w:rFonts w:ascii="Arial" w:hAnsi="Arial" w:cs="Arial"/>
          <w:b/>
          <w:bCs/>
          <w:color w:val="222222"/>
          <w:sz w:val="25"/>
          <w:szCs w:val="25"/>
          <w:shd w:val="clear" w:color="auto" w:fill="FFFFFF"/>
        </w:rPr>
        <w:t>la fracción XV del artículo 44 y adición de un tercer y cuarto párrafos al artículo 52 a la Ley del Sistema de Seguridad Pública del Estado de Guanajuato</w:t>
      </w:r>
      <w:r w:rsidR="00435D05" w:rsidRPr="00182F0E">
        <w:rPr>
          <w:rFonts w:ascii="Arial" w:hAnsi="Arial" w:cs="Arial"/>
          <w:b/>
          <w:sz w:val="25"/>
          <w:szCs w:val="25"/>
        </w:rPr>
        <w:t xml:space="preserve">, </w:t>
      </w:r>
      <w:r w:rsidR="00BB13C1" w:rsidRPr="00182F0E">
        <w:rPr>
          <w:rFonts w:ascii="Arial" w:hAnsi="Arial" w:cs="Arial"/>
          <w:sz w:val="25"/>
          <w:szCs w:val="25"/>
        </w:rPr>
        <w:t>enviada</w:t>
      </w:r>
      <w:r w:rsidR="00435D05" w:rsidRPr="00182F0E">
        <w:rPr>
          <w:rFonts w:ascii="Arial" w:hAnsi="Arial" w:cs="Arial"/>
          <w:sz w:val="25"/>
          <w:szCs w:val="25"/>
        </w:rPr>
        <w:t xml:space="preserve"> por la Sexagésima </w:t>
      </w:r>
      <w:r w:rsidR="00D05CDE" w:rsidRPr="00182F0E">
        <w:rPr>
          <w:rFonts w:ascii="Arial" w:hAnsi="Arial" w:cs="Arial"/>
          <w:sz w:val="25"/>
          <w:szCs w:val="25"/>
        </w:rPr>
        <w:t xml:space="preserve">Cuarta </w:t>
      </w:r>
      <w:r w:rsidR="00435D05" w:rsidRPr="00182F0E">
        <w:rPr>
          <w:rFonts w:ascii="Arial" w:hAnsi="Arial" w:cs="Arial"/>
          <w:sz w:val="25"/>
          <w:szCs w:val="25"/>
        </w:rPr>
        <w:t>Legislativa del H. Co</w:t>
      </w:r>
      <w:r w:rsidR="00286296" w:rsidRPr="00182F0E">
        <w:rPr>
          <w:rFonts w:ascii="Arial" w:hAnsi="Arial" w:cs="Arial"/>
          <w:sz w:val="25"/>
          <w:szCs w:val="25"/>
        </w:rPr>
        <w:t>ngreso del Estado de Guanajuato</w:t>
      </w:r>
      <w:r w:rsidR="00435D05" w:rsidRPr="00182F0E">
        <w:rPr>
          <w:rFonts w:ascii="Arial" w:hAnsi="Arial" w:cs="Arial"/>
          <w:sz w:val="25"/>
          <w:szCs w:val="25"/>
          <w:shd w:val="clear" w:color="auto" w:fill="FFFFFF"/>
        </w:rPr>
        <w:t>.</w:t>
      </w:r>
      <w:r w:rsidR="00435D05" w:rsidRPr="00182F0E">
        <w:rPr>
          <w:rFonts w:ascii="Arial" w:hAnsi="Arial" w:cs="Arial"/>
          <w:sz w:val="25"/>
          <w:szCs w:val="25"/>
        </w:rPr>
        <w:t xml:space="preserve"> Lo anterior, a fin de manifestar las observaciones y aportaciones que se señalan en el anexo que forma parte del presente acuerdo, las cuales contribuirán a enriquecer el contenido de la iniciativa de referencia.</w:t>
      </w:r>
    </w:p>
    <w:p w:rsidR="00744EC8" w:rsidRPr="00182F0E" w:rsidRDefault="00744EC8" w:rsidP="00E67D65">
      <w:pPr>
        <w:spacing w:after="0" w:line="240" w:lineRule="auto"/>
        <w:rPr>
          <w:rFonts w:ascii="Arial" w:eastAsia="Times New Roman" w:hAnsi="Arial" w:cs="Arial"/>
          <w:b/>
          <w:bCs/>
          <w:sz w:val="25"/>
          <w:szCs w:val="25"/>
          <w:lang w:eastAsia="es-ES"/>
        </w:rPr>
      </w:pPr>
    </w:p>
    <w:p w:rsidR="009D0523" w:rsidRPr="00182F0E" w:rsidRDefault="009D0523" w:rsidP="00E67D65">
      <w:pPr>
        <w:spacing w:after="0" w:line="240" w:lineRule="auto"/>
        <w:rPr>
          <w:rFonts w:ascii="Arial" w:eastAsia="Times New Roman" w:hAnsi="Arial" w:cs="Arial"/>
          <w:b/>
          <w:bCs/>
          <w:sz w:val="25"/>
          <w:szCs w:val="25"/>
          <w:lang w:eastAsia="es-ES"/>
        </w:rPr>
      </w:pPr>
    </w:p>
    <w:p w:rsidR="009F58E0" w:rsidRPr="00182F0E" w:rsidRDefault="009F58E0" w:rsidP="00E67D65">
      <w:pPr>
        <w:spacing w:after="0" w:line="240" w:lineRule="auto"/>
        <w:jc w:val="center"/>
        <w:rPr>
          <w:rFonts w:ascii="Arial" w:eastAsia="Times New Roman" w:hAnsi="Arial" w:cs="Arial"/>
          <w:b/>
          <w:bCs/>
          <w:sz w:val="25"/>
          <w:szCs w:val="25"/>
          <w:lang w:eastAsia="es-ES"/>
        </w:rPr>
      </w:pPr>
      <w:r w:rsidRPr="00182F0E">
        <w:rPr>
          <w:rFonts w:ascii="Arial" w:eastAsia="Times New Roman" w:hAnsi="Arial" w:cs="Arial"/>
          <w:b/>
          <w:bCs/>
          <w:sz w:val="25"/>
          <w:szCs w:val="25"/>
          <w:lang w:eastAsia="es-ES"/>
        </w:rPr>
        <w:t>A T E N T A M E N T E</w:t>
      </w:r>
    </w:p>
    <w:p w:rsidR="009F58E0" w:rsidRPr="00182F0E" w:rsidRDefault="009F58E0" w:rsidP="00E67D65">
      <w:pPr>
        <w:spacing w:after="0" w:line="240" w:lineRule="auto"/>
        <w:jc w:val="center"/>
        <w:rPr>
          <w:rFonts w:ascii="Arial" w:eastAsia="Times New Roman" w:hAnsi="Arial" w:cs="Arial"/>
          <w:b/>
          <w:color w:val="000000"/>
          <w:sz w:val="25"/>
          <w:szCs w:val="25"/>
          <w:lang w:val="es-ES" w:eastAsia="es-ES"/>
        </w:rPr>
      </w:pPr>
      <w:r w:rsidRPr="00182F0E">
        <w:rPr>
          <w:rFonts w:ascii="Arial" w:eastAsia="Times New Roman" w:hAnsi="Arial" w:cs="Arial"/>
          <w:b/>
          <w:color w:val="000000"/>
          <w:sz w:val="25"/>
          <w:szCs w:val="25"/>
          <w:lang w:val="es-ES" w:eastAsia="es-ES"/>
        </w:rPr>
        <w:t>“EL TRABAJO TODO LO VENCE”</w:t>
      </w:r>
    </w:p>
    <w:p w:rsidR="00ED7888" w:rsidRPr="00182F0E" w:rsidRDefault="00ED7888" w:rsidP="00E67D65">
      <w:pPr>
        <w:pStyle w:val="Default"/>
        <w:jc w:val="center"/>
        <w:rPr>
          <w:b/>
          <w:bCs/>
          <w:sz w:val="25"/>
          <w:szCs w:val="25"/>
        </w:rPr>
      </w:pPr>
      <w:r w:rsidRPr="00182F0E">
        <w:rPr>
          <w:b/>
          <w:bCs/>
          <w:sz w:val="25"/>
          <w:szCs w:val="25"/>
          <w:lang w:val="es-ES_tradnl"/>
        </w:rPr>
        <w:t>“2019, AÑO DEL CAUDILLO DEL SUR, EMILIANO ZAPATA”</w:t>
      </w:r>
    </w:p>
    <w:p w:rsidR="009F58E0" w:rsidRPr="00182F0E" w:rsidRDefault="009F58E0" w:rsidP="00E67D65">
      <w:pPr>
        <w:spacing w:after="0" w:line="240" w:lineRule="auto"/>
        <w:jc w:val="center"/>
        <w:rPr>
          <w:rFonts w:ascii="Arial" w:hAnsi="Arial" w:cs="Arial"/>
          <w:b/>
          <w:bCs/>
          <w:sz w:val="25"/>
          <w:szCs w:val="25"/>
          <w:lang w:val="es-ES" w:eastAsia="es-ES"/>
        </w:rPr>
      </w:pPr>
      <w:r w:rsidRPr="00182F0E">
        <w:rPr>
          <w:rFonts w:ascii="Arial" w:hAnsi="Arial" w:cs="Arial"/>
          <w:b/>
          <w:bCs/>
          <w:sz w:val="25"/>
          <w:szCs w:val="25"/>
          <w:lang w:val="es-ES" w:eastAsia="es-ES"/>
        </w:rPr>
        <w:t xml:space="preserve">LEÓN, GUANAJUATO, </w:t>
      </w:r>
      <w:r w:rsidR="005441E4">
        <w:rPr>
          <w:rFonts w:ascii="Arial" w:hAnsi="Arial" w:cs="Arial"/>
          <w:b/>
          <w:bCs/>
          <w:sz w:val="25"/>
          <w:szCs w:val="25"/>
          <w:lang w:val="es-ES" w:eastAsia="es-ES"/>
        </w:rPr>
        <w:t>02 DE JUL</w:t>
      </w:r>
      <w:r w:rsidR="00E81494" w:rsidRPr="00182F0E">
        <w:rPr>
          <w:rFonts w:ascii="Arial" w:hAnsi="Arial" w:cs="Arial"/>
          <w:b/>
          <w:bCs/>
          <w:sz w:val="25"/>
          <w:szCs w:val="25"/>
          <w:lang w:val="es-ES" w:eastAsia="es-ES"/>
        </w:rPr>
        <w:t xml:space="preserve">IO </w:t>
      </w:r>
      <w:r w:rsidR="00ED7888" w:rsidRPr="00182F0E">
        <w:rPr>
          <w:rFonts w:ascii="Arial" w:hAnsi="Arial" w:cs="Arial"/>
          <w:b/>
          <w:bCs/>
          <w:sz w:val="25"/>
          <w:szCs w:val="25"/>
          <w:lang w:val="es-ES" w:eastAsia="es-ES"/>
        </w:rPr>
        <w:t>DE 2019</w:t>
      </w:r>
      <w:r w:rsidRPr="00182F0E">
        <w:rPr>
          <w:rFonts w:ascii="Arial" w:hAnsi="Arial" w:cs="Arial"/>
          <w:b/>
          <w:bCs/>
          <w:sz w:val="25"/>
          <w:szCs w:val="25"/>
          <w:lang w:val="es-ES" w:eastAsia="es-ES"/>
        </w:rPr>
        <w:t>.</w:t>
      </w:r>
    </w:p>
    <w:p w:rsidR="00E81494" w:rsidRPr="00182F0E" w:rsidRDefault="00E81494" w:rsidP="00E67D65">
      <w:pPr>
        <w:spacing w:after="0" w:line="240" w:lineRule="auto"/>
        <w:rPr>
          <w:rFonts w:ascii="Arial" w:hAnsi="Arial" w:cs="Arial"/>
          <w:b/>
          <w:bCs/>
          <w:sz w:val="25"/>
          <w:szCs w:val="25"/>
          <w:lang w:eastAsia="es-ES"/>
        </w:rPr>
      </w:pPr>
    </w:p>
    <w:p w:rsidR="009D0523" w:rsidRPr="00182F0E" w:rsidRDefault="009D0523" w:rsidP="00E67D65">
      <w:pPr>
        <w:spacing w:after="0" w:line="240" w:lineRule="auto"/>
        <w:rPr>
          <w:rFonts w:ascii="Arial" w:hAnsi="Arial" w:cs="Arial"/>
          <w:b/>
          <w:bCs/>
          <w:sz w:val="25"/>
          <w:szCs w:val="25"/>
          <w:lang w:eastAsia="es-ES"/>
        </w:rPr>
      </w:pPr>
    </w:p>
    <w:p w:rsidR="009D0523" w:rsidRPr="00182F0E" w:rsidRDefault="009D0523" w:rsidP="00E67D65">
      <w:pPr>
        <w:spacing w:after="0" w:line="240" w:lineRule="auto"/>
        <w:rPr>
          <w:rFonts w:ascii="Arial" w:hAnsi="Arial" w:cs="Arial"/>
          <w:b/>
          <w:bCs/>
          <w:sz w:val="25"/>
          <w:szCs w:val="25"/>
          <w:lang w:eastAsia="es-ES"/>
        </w:rPr>
      </w:pPr>
    </w:p>
    <w:p w:rsidR="00E81494" w:rsidRPr="00182F0E" w:rsidRDefault="00E81494" w:rsidP="00E67D65">
      <w:pPr>
        <w:spacing w:after="0" w:line="240" w:lineRule="auto"/>
        <w:jc w:val="center"/>
        <w:rPr>
          <w:rFonts w:ascii="Arial" w:hAnsi="Arial" w:cs="Arial"/>
          <w:b/>
          <w:bCs/>
          <w:sz w:val="25"/>
          <w:szCs w:val="25"/>
          <w:lang w:eastAsia="es-ES"/>
        </w:rPr>
      </w:pPr>
    </w:p>
    <w:p w:rsidR="009D0523" w:rsidRPr="00182F0E" w:rsidRDefault="009D0523" w:rsidP="00E67D65">
      <w:pPr>
        <w:spacing w:after="0" w:line="240" w:lineRule="auto"/>
        <w:jc w:val="center"/>
        <w:rPr>
          <w:rFonts w:ascii="Arial" w:hAnsi="Arial" w:cs="Arial"/>
          <w:b/>
          <w:bCs/>
          <w:sz w:val="25"/>
          <w:szCs w:val="25"/>
          <w:lang w:eastAsia="es-ES"/>
        </w:rPr>
      </w:pPr>
    </w:p>
    <w:p w:rsidR="009D0523" w:rsidRPr="00182F0E" w:rsidRDefault="009D0523" w:rsidP="00E67D65">
      <w:pPr>
        <w:spacing w:after="0" w:line="240" w:lineRule="auto"/>
        <w:jc w:val="center"/>
        <w:rPr>
          <w:rFonts w:ascii="Arial" w:hAnsi="Arial" w:cs="Arial"/>
          <w:b/>
          <w:bCs/>
          <w:sz w:val="25"/>
          <w:szCs w:val="25"/>
          <w:lang w:eastAsia="es-ES"/>
        </w:rPr>
      </w:pPr>
    </w:p>
    <w:p w:rsidR="009F58E0" w:rsidRPr="00182F0E" w:rsidRDefault="009F58E0" w:rsidP="00E67D65">
      <w:pPr>
        <w:spacing w:after="0" w:line="240" w:lineRule="auto"/>
        <w:jc w:val="center"/>
        <w:rPr>
          <w:rFonts w:ascii="Arial" w:hAnsi="Arial" w:cs="Arial"/>
          <w:b/>
          <w:bCs/>
          <w:sz w:val="25"/>
          <w:szCs w:val="25"/>
          <w:lang w:val="es-ES_tradnl" w:eastAsia="es-ES"/>
        </w:rPr>
      </w:pPr>
      <w:r w:rsidRPr="00182F0E">
        <w:rPr>
          <w:rFonts w:ascii="Arial" w:hAnsi="Arial" w:cs="Arial"/>
          <w:b/>
          <w:bCs/>
          <w:sz w:val="25"/>
          <w:szCs w:val="25"/>
          <w:lang w:eastAsia="es-ES"/>
        </w:rPr>
        <w:t xml:space="preserve">INTEGRANTES DE LA </w:t>
      </w:r>
      <w:r w:rsidRPr="00182F0E">
        <w:rPr>
          <w:rFonts w:ascii="Arial" w:hAnsi="Arial" w:cs="Arial"/>
          <w:b/>
          <w:bCs/>
          <w:sz w:val="25"/>
          <w:szCs w:val="25"/>
          <w:lang w:val="es-ES_tradnl" w:eastAsia="es-ES"/>
        </w:rPr>
        <w:t>COMISIÓN DE GOBIERNO, SEGURIDAD PÚBLICA Y TRÁNSITO</w:t>
      </w:r>
    </w:p>
    <w:p w:rsidR="009F58E0" w:rsidRPr="00182F0E" w:rsidRDefault="009F58E0" w:rsidP="00E67D65">
      <w:pPr>
        <w:spacing w:after="0" w:line="240" w:lineRule="auto"/>
        <w:jc w:val="center"/>
        <w:rPr>
          <w:rFonts w:ascii="Arial" w:hAnsi="Arial" w:cs="Arial"/>
          <w:sz w:val="25"/>
          <w:szCs w:val="25"/>
          <w:lang w:eastAsia="es-ES"/>
        </w:rPr>
      </w:pPr>
    </w:p>
    <w:p w:rsidR="0060320D" w:rsidRPr="00182F0E" w:rsidRDefault="0060320D" w:rsidP="00E67D65">
      <w:pPr>
        <w:spacing w:after="0" w:line="240" w:lineRule="auto"/>
        <w:jc w:val="center"/>
        <w:rPr>
          <w:rFonts w:ascii="Arial" w:hAnsi="Arial" w:cs="Arial"/>
          <w:sz w:val="25"/>
          <w:szCs w:val="25"/>
          <w:lang w:eastAsia="es-ES"/>
        </w:rPr>
      </w:pPr>
    </w:p>
    <w:p w:rsidR="009F58E0" w:rsidRPr="00182F0E" w:rsidRDefault="009F58E0" w:rsidP="00E67D65">
      <w:pPr>
        <w:tabs>
          <w:tab w:val="left" w:pos="1785"/>
        </w:tabs>
        <w:spacing w:after="0" w:line="240" w:lineRule="auto"/>
        <w:ind w:right="14"/>
        <w:rPr>
          <w:rFonts w:ascii="Arial" w:hAnsi="Arial" w:cs="Arial"/>
          <w:b/>
          <w:sz w:val="25"/>
          <w:szCs w:val="25"/>
          <w:lang w:val="es-ES_tradnl" w:eastAsia="es-ES"/>
        </w:rPr>
      </w:pPr>
    </w:p>
    <w:p w:rsidR="009F58E0" w:rsidRPr="00182F0E" w:rsidRDefault="009F58E0" w:rsidP="00E67D65">
      <w:pPr>
        <w:tabs>
          <w:tab w:val="left" w:pos="1134"/>
        </w:tabs>
        <w:spacing w:after="0" w:line="240" w:lineRule="auto"/>
        <w:ind w:right="14"/>
        <w:rPr>
          <w:rFonts w:ascii="Arial" w:hAnsi="Arial" w:cs="Arial"/>
          <w:b/>
          <w:sz w:val="25"/>
          <w:szCs w:val="25"/>
          <w:lang w:val="es-ES_tradnl" w:eastAsia="es-ES"/>
        </w:rPr>
      </w:pPr>
    </w:p>
    <w:p w:rsidR="00940B35" w:rsidRPr="00182F0E" w:rsidRDefault="00940B35" w:rsidP="00E67D65">
      <w:pPr>
        <w:spacing w:after="0" w:line="240" w:lineRule="auto"/>
        <w:rPr>
          <w:rFonts w:ascii="Arial" w:hAnsi="Arial" w:cs="Arial"/>
          <w:b/>
          <w:sz w:val="25"/>
          <w:szCs w:val="25"/>
        </w:rPr>
      </w:pPr>
      <w:r w:rsidRPr="00182F0E">
        <w:rPr>
          <w:rFonts w:ascii="Arial" w:hAnsi="Arial" w:cs="Arial"/>
          <w:b/>
          <w:sz w:val="25"/>
          <w:szCs w:val="25"/>
        </w:rPr>
        <w:t>CHRISTIAN JAVIER CRUZ VILLEGAS</w:t>
      </w:r>
    </w:p>
    <w:p w:rsidR="00940B35" w:rsidRPr="00182F0E" w:rsidRDefault="00940B35" w:rsidP="00E67D65">
      <w:pPr>
        <w:spacing w:after="0" w:line="240" w:lineRule="auto"/>
        <w:rPr>
          <w:rFonts w:ascii="Arial" w:hAnsi="Arial" w:cs="Arial"/>
          <w:b/>
          <w:sz w:val="25"/>
          <w:szCs w:val="25"/>
        </w:rPr>
      </w:pPr>
      <w:r w:rsidRPr="00182F0E">
        <w:rPr>
          <w:rFonts w:ascii="Arial" w:hAnsi="Arial" w:cs="Arial"/>
          <w:b/>
          <w:sz w:val="25"/>
          <w:szCs w:val="25"/>
        </w:rPr>
        <w:t>SINDICO</w:t>
      </w:r>
    </w:p>
    <w:p w:rsidR="00940B35" w:rsidRPr="00182F0E" w:rsidRDefault="00940B35" w:rsidP="00E67D65">
      <w:pPr>
        <w:spacing w:after="0" w:line="240" w:lineRule="auto"/>
        <w:rPr>
          <w:rFonts w:ascii="Arial" w:hAnsi="Arial" w:cs="Arial"/>
          <w:b/>
          <w:sz w:val="25"/>
          <w:szCs w:val="25"/>
        </w:rPr>
      </w:pPr>
    </w:p>
    <w:p w:rsidR="00940B35" w:rsidRPr="00182F0E" w:rsidRDefault="00940B35" w:rsidP="00E67D65">
      <w:pPr>
        <w:spacing w:after="0" w:line="240" w:lineRule="auto"/>
        <w:jc w:val="right"/>
        <w:rPr>
          <w:rFonts w:ascii="Arial" w:hAnsi="Arial" w:cs="Arial"/>
          <w:b/>
          <w:sz w:val="25"/>
          <w:szCs w:val="25"/>
        </w:rPr>
      </w:pPr>
    </w:p>
    <w:p w:rsidR="00940B35" w:rsidRPr="00182F0E" w:rsidRDefault="00940B35" w:rsidP="00E67D65">
      <w:pPr>
        <w:spacing w:after="0" w:line="240" w:lineRule="auto"/>
        <w:jc w:val="right"/>
        <w:rPr>
          <w:rFonts w:ascii="Arial" w:hAnsi="Arial" w:cs="Arial"/>
          <w:b/>
          <w:sz w:val="25"/>
          <w:szCs w:val="25"/>
        </w:rPr>
      </w:pPr>
      <w:r w:rsidRPr="00182F0E">
        <w:rPr>
          <w:rFonts w:ascii="Arial" w:hAnsi="Arial" w:cs="Arial"/>
          <w:b/>
          <w:sz w:val="25"/>
          <w:szCs w:val="25"/>
        </w:rPr>
        <w:t>ANA MARÍA ESQUIVEL ARRONA</w:t>
      </w:r>
    </w:p>
    <w:p w:rsidR="00940B35" w:rsidRPr="00182F0E" w:rsidRDefault="00940B35" w:rsidP="00E67D65">
      <w:pPr>
        <w:spacing w:after="0" w:line="240" w:lineRule="auto"/>
        <w:jc w:val="right"/>
        <w:rPr>
          <w:rFonts w:ascii="Arial" w:hAnsi="Arial" w:cs="Arial"/>
          <w:b/>
          <w:sz w:val="25"/>
          <w:szCs w:val="25"/>
        </w:rPr>
      </w:pPr>
      <w:r w:rsidRPr="00182F0E">
        <w:rPr>
          <w:rFonts w:ascii="Arial" w:hAnsi="Arial" w:cs="Arial"/>
          <w:b/>
          <w:sz w:val="25"/>
          <w:szCs w:val="25"/>
        </w:rPr>
        <w:t>REGIDORA</w:t>
      </w:r>
    </w:p>
    <w:p w:rsidR="00940B35" w:rsidRPr="00182F0E" w:rsidRDefault="00940B35" w:rsidP="00E67D65">
      <w:pPr>
        <w:spacing w:after="0" w:line="240" w:lineRule="auto"/>
        <w:rPr>
          <w:rFonts w:ascii="Arial" w:hAnsi="Arial" w:cs="Arial"/>
          <w:b/>
          <w:sz w:val="25"/>
          <w:szCs w:val="25"/>
        </w:rPr>
      </w:pPr>
    </w:p>
    <w:p w:rsidR="00940B35" w:rsidRPr="00182F0E" w:rsidRDefault="00940B35" w:rsidP="00E67D65">
      <w:pPr>
        <w:spacing w:after="0" w:line="240" w:lineRule="auto"/>
        <w:rPr>
          <w:rFonts w:ascii="Arial" w:hAnsi="Arial" w:cs="Arial"/>
          <w:b/>
          <w:sz w:val="25"/>
          <w:szCs w:val="25"/>
        </w:rPr>
      </w:pPr>
    </w:p>
    <w:p w:rsidR="00940B35" w:rsidRPr="00182F0E" w:rsidRDefault="006E21F5" w:rsidP="00E67D65">
      <w:pPr>
        <w:spacing w:after="0" w:line="240" w:lineRule="auto"/>
        <w:rPr>
          <w:rFonts w:ascii="Arial" w:hAnsi="Arial" w:cs="Arial"/>
          <w:b/>
          <w:sz w:val="25"/>
          <w:szCs w:val="25"/>
        </w:rPr>
      </w:pPr>
      <w:r w:rsidRPr="00182F0E">
        <w:rPr>
          <w:rFonts w:ascii="Arial" w:hAnsi="Arial" w:cs="Arial"/>
          <w:b/>
          <w:sz w:val="25"/>
          <w:szCs w:val="25"/>
        </w:rPr>
        <w:t>MARÍ</w:t>
      </w:r>
      <w:r w:rsidR="00940B35" w:rsidRPr="00182F0E">
        <w:rPr>
          <w:rFonts w:ascii="Arial" w:hAnsi="Arial" w:cs="Arial"/>
          <w:b/>
          <w:sz w:val="25"/>
          <w:szCs w:val="25"/>
        </w:rPr>
        <w:t>A OLIMPIA ZAPATA PADILLA</w:t>
      </w:r>
    </w:p>
    <w:p w:rsidR="00940B35" w:rsidRPr="00182F0E" w:rsidRDefault="00940B35" w:rsidP="00E67D65">
      <w:pPr>
        <w:spacing w:after="0" w:line="240" w:lineRule="auto"/>
        <w:rPr>
          <w:rFonts w:ascii="Arial" w:hAnsi="Arial" w:cs="Arial"/>
          <w:b/>
          <w:sz w:val="25"/>
          <w:szCs w:val="25"/>
        </w:rPr>
      </w:pPr>
      <w:r w:rsidRPr="00182F0E">
        <w:rPr>
          <w:rFonts w:ascii="Arial" w:hAnsi="Arial" w:cs="Arial"/>
          <w:b/>
          <w:sz w:val="25"/>
          <w:szCs w:val="25"/>
        </w:rPr>
        <w:t>REGIDORA</w:t>
      </w:r>
    </w:p>
    <w:p w:rsidR="00ED7888" w:rsidRPr="00182F0E" w:rsidRDefault="00ED7888" w:rsidP="00E67D65">
      <w:pPr>
        <w:spacing w:after="0" w:line="240" w:lineRule="auto"/>
        <w:jc w:val="right"/>
        <w:rPr>
          <w:rFonts w:ascii="Arial" w:hAnsi="Arial" w:cs="Arial"/>
          <w:b/>
          <w:sz w:val="25"/>
          <w:szCs w:val="25"/>
        </w:rPr>
      </w:pPr>
    </w:p>
    <w:p w:rsidR="00ED7888" w:rsidRPr="00182F0E" w:rsidRDefault="00ED7888" w:rsidP="00E67D65">
      <w:pPr>
        <w:spacing w:after="0" w:line="240" w:lineRule="auto"/>
        <w:jc w:val="right"/>
        <w:rPr>
          <w:rFonts w:ascii="Arial" w:hAnsi="Arial" w:cs="Arial"/>
          <w:b/>
          <w:sz w:val="25"/>
          <w:szCs w:val="25"/>
        </w:rPr>
      </w:pPr>
    </w:p>
    <w:p w:rsidR="00ED7888" w:rsidRPr="00182F0E" w:rsidRDefault="00ED7888" w:rsidP="00E67D65">
      <w:pPr>
        <w:spacing w:after="0" w:line="240" w:lineRule="auto"/>
        <w:jc w:val="right"/>
        <w:rPr>
          <w:rFonts w:ascii="Arial" w:hAnsi="Arial" w:cs="Arial"/>
          <w:b/>
          <w:sz w:val="25"/>
          <w:szCs w:val="25"/>
        </w:rPr>
      </w:pPr>
    </w:p>
    <w:p w:rsidR="00BB202B" w:rsidRPr="00182F0E" w:rsidRDefault="00BB202B" w:rsidP="00E67D65">
      <w:pPr>
        <w:spacing w:after="0" w:line="240" w:lineRule="auto"/>
        <w:jc w:val="right"/>
        <w:rPr>
          <w:rFonts w:ascii="Arial" w:hAnsi="Arial" w:cs="Arial"/>
          <w:b/>
          <w:sz w:val="25"/>
          <w:szCs w:val="25"/>
        </w:rPr>
      </w:pPr>
    </w:p>
    <w:p w:rsidR="00940B35" w:rsidRPr="00182F0E" w:rsidRDefault="00940B35" w:rsidP="00E67D65">
      <w:pPr>
        <w:spacing w:after="0" w:line="240" w:lineRule="auto"/>
        <w:jc w:val="right"/>
        <w:rPr>
          <w:rFonts w:ascii="Arial" w:hAnsi="Arial" w:cs="Arial"/>
          <w:b/>
          <w:sz w:val="25"/>
          <w:szCs w:val="25"/>
        </w:rPr>
      </w:pPr>
      <w:r w:rsidRPr="00182F0E">
        <w:rPr>
          <w:rFonts w:ascii="Arial" w:hAnsi="Arial" w:cs="Arial"/>
          <w:b/>
          <w:sz w:val="25"/>
          <w:szCs w:val="25"/>
        </w:rPr>
        <w:t>JORGE ARTURO CABRERA GONZÁLEZ</w:t>
      </w:r>
    </w:p>
    <w:p w:rsidR="00940B35" w:rsidRPr="00182F0E" w:rsidRDefault="00940B35" w:rsidP="00E67D65">
      <w:pPr>
        <w:spacing w:after="0" w:line="240" w:lineRule="auto"/>
        <w:jc w:val="right"/>
        <w:rPr>
          <w:rFonts w:ascii="Arial" w:hAnsi="Arial" w:cs="Arial"/>
          <w:b/>
          <w:sz w:val="25"/>
          <w:szCs w:val="25"/>
        </w:rPr>
      </w:pPr>
      <w:r w:rsidRPr="00182F0E">
        <w:rPr>
          <w:rFonts w:ascii="Arial" w:hAnsi="Arial" w:cs="Arial"/>
          <w:b/>
          <w:sz w:val="25"/>
          <w:szCs w:val="25"/>
        </w:rPr>
        <w:t>REGIDOR</w:t>
      </w:r>
    </w:p>
    <w:p w:rsidR="00940B35" w:rsidRPr="00182F0E" w:rsidRDefault="00940B35" w:rsidP="00E67D65">
      <w:pPr>
        <w:spacing w:after="0" w:line="240" w:lineRule="auto"/>
        <w:rPr>
          <w:rFonts w:ascii="Arial" w:hAnsi="Arial" w:cs="Arial"/>
          <w:b/>
          <w:sz w:val="25"/>
          <w:szCs w:val="25"/>
        </w:rPr>
      </w:pPr>
    </w:p>
    <w:p w:rsidR="00940B35" w:rsidRPr="00182F0E" w:rsidRDefault="00940B35" w:rsidP="00E67D65">
      <w:pPr>
        <w:spacing w:after="0" w:line="240" w:lineRule="auto"/>
        <w:rPr>
          <w:rFonts w:ascii="Arial" w:hAnsi="Arial" w:cs="Arial"/>
          <w:b/>
          <w:sz w:val="25"/>
          <w:szCs w:val="25"/>
        </w:rPr>
      </w:pPr>
    </w:p>
    <w:p w:rsidR="002A61DB" w:rsidRPr="00182F0E" w:rsidRDefault="002A61DB" w:rsidP="00E67D65">
      <w:pPr>
        <w:spacing w:after="0" w:line="240" w:lineRule="auto"/>
        <w:rPr>
          <w:rFonts w:ascii="Arial" w:hAnsi="Arial" w:cs="Arial"/>
          <w:b/>
          <w:sz w:val="25"/>
          <w:szCs w:val="25"/>
        </w:rPr>
      </w:pPr>
    </w:p>
    <w:p w:rsidR="00ED7888" w:rsidRPr="00182F0E" w:rsidRDefault="00ED7888" w:rsidP="00E67D65">
      <w:pPr>
        <w:spacing w:after="0" w:line="240" w:lineRule="auto"/>
        <w:rPr>
          <w:rFonts w:ascii="Arial" w:hAnsi="Arial" w:cs="Arial"/>
          <w:b/>
          <w:sz w:val="25"/>
          <w:szCs w:val="25"/>
        </w:rPr>
      </w:pPr>
    </w:p>
    <w:p w:rsidR="00940B35" w:rsidRPr="00182F0E" w:rsidRDefault="00940B35" w:rsidP="00E67D65">
      <w:pPr>
        <w:spacing w:after="0" w:line="240" w:lineRule="auto"/>
        <w:rPr>
          <w:rFonts w:ascii="Arial" w:hAnsi="Arial" w:cs="Arial"/>
          <w:b/>
          <w:sz w:val="25"/>
          <w:szCs w:val="25"/>
        </w:rPr>
      </w:pPr>
    </w:p>
    <w:p w:rsidR="00940B35" w:rsidRPr="00182F0E" w:rsidRDefault="00940B35" w:rsidP="00E67D65">
      <w:pPr>
        <w:spacing w:after="0" w:line="240" w:lineRule="auto"/>
        <w:rPr>
          <w:rFonts w:ascii="Arial" w:hAnsi="Arial" w:cs="Arial"/>
          <w:b/>
          <w:sz w:val="25"/>
          <w:szCs w:val="25"/>
        </w:rPr>
      </w:pPr>
      <w:r w:rsidRPr="00182F0E">
        <w:rPr>
          <w:rFonts w:ascii="Arial" w:hAnsi="Arial" w:cs="Arial"/>
          <w:b/>
          <w:sz w:val="25"/>
          <w:szCs w:val="25"/>
        </w:rPr>
        <w:t>VANESSA MONTES DE OCA MAYAGOITIA</w:t>
      </w:r>
    </w:p>
    <w:p w:rsidR="00940B35" w:rsidRPr="00182F0E" w:rsidRDefault="00940B35" w:rsidP="00E67D65">
      <w:pPr>
        <w:spacing w:after="0" w:line="240" w:lineRule="auto"/>
        <w:rPr>
          <w:rFonts w:ascii="Arial" w:hAnsi="Arial" w:cs="Arial"/>
          <w:b/>
          <w:sz w:val="25"/>
          <w:szCs w:val="25"/>
        </w:rPr>
      </w:pPr>
      <w:r w:rsidRPr="00182F0E">
        <w:rPr>
          <w:rFonts w:ascii="Arial" w:hAnsi="Arial" w:cs="Arial"/>
          <w:b/>
          <w:sz w:val="25"/>
          <w:szCs w:val="25"/>
        </w:rPr>
        <w:t>REGIDORA</w:t>
      </w:r>
    </w:p>
    <w:p w:rsidR="00940B35" w:rsidRPr="00182F0E" w:rsidRDefault="00940B35" w:rsidP="00E67D65">
      <w:pPr>
        <w:spacing w:after="0" w:line="240" w:lineRule="auto"/>
        <w:rPr>
          <w:rFonts w:ascii="Arial" w:hAnsi="Arial" w:cs="Arial"/>
          <w:b/>
          <w:sz w:val="25"/>
          <w:szCs w:val="25"/>
        </w:rPr>
      </w:pPr>
    </w:p>
    <w:p w:rsidR="00940B35" w:rsidRPr="00182F0E" w:rsidRDefault="00940B35" w:rsidP="00E67D65">
      <w:pPr>
        <w:spacing w:after="0" w:line="240" w:lineRule="auto"/>
        <w:rPr>
          <w:rFonts w:ascii="Arial" w:hAnsi="Arial" w:cs="Arial"/>
          <w:b/>
          <w:sz w:val="25"/>
          <w:szCs w:val="25"/>
        </w:rPr>
      </w:pPr>
    </w:p>
    <w:p w:rsidR="00940B35" w:rsidRPr="00182F0E" w:rsidRDefault="00940B35" w:rsidP="00E67D65">
      <w:pPr>
        <w:spacing w:after="0" w:line="240" w:lineRule="auto"/>
        <w:rPr>
          <w:rFonts w:ascii="Arial" w:hAnsi="Arial" w:cs="Arial"/>
          <w:b/>
          <w:sz w:val="25"/>
          <w:szCs w:val="25"/>
        </w:rPr>
      </w:pPr>
    </w:p>
    <w:p w:rsidR="00940B35" w:rsidRPr="00182F0E" w:rsidRDefault="00940B35" w:rsidP="00E67D65">
      <w:pPr>
        <w:spacing w:after="0" w:line="240" w:lineRule="auto"/>
        <w:jc w:val="right"/>
        <w:rPr>
          <w:rFonts w:ascii="Arial" w:hAnsi="Arial" w:cs="Arial"/>
          <w:b/>
          <w:sz w:val="25"/>
          <w:szCs w:val="25"/>
        </w:rPr>
      </w:pPr>
      <w:r w:rsidRPr="00182F0E">
        <w:rPr>
          <w:rFonts w:ascii="Arial" w:hAnsi="Arial" w:cs="Arial"/>
          <w:b/>
          <w:sz w:val="25"/>
          <w:szCs w:val="25"/>
        </w:rPr>
        <w:t>GABRIEL DURAN ORTIZ</w:t>
      </w:r>
    </w:p>
    <w:p w:rsidR="00940B35" w:rsidRPr="00182F0E" w:rsidRDefault="00940B35" w:rsidP="00E67D65">
      <w:pPr>
        <w:spacing w:after="0" w:line="240" w:lineRule="auto"/>
        <w:jc w:val="right"/>
        <w:rPr>
          <w:rFonts w:ascii="Arial" w:hAnsi="Arial" w:cs="Arial"/>
          <w:b/>
          <w:sz w:val="25"/>
          <w:szCs w:val="25"/>
        </w:rPr>
      </w:pPr>
      <w:r w:rsidRPr="00182F0E">
        <w:rPr>
          <w:rFonts w:ascii="Arial" w:hAnsi="Arial" w:cs="Arial"/>
          <w:b/>
          <w:sz w:val="25"/>
          <w:szCs w:val="25"/>
        </w:rPr>
        <w:t>REGIDOR</w:t>
      </w:r>
    </w:p>
    <w:p w:rsidR="00940B35" w:rsidRPr="00182F0E" w:rsidRDefault="00940B35" w:rsidP="00E67D65">
      <w:pPr>
        <w:spacing w:after="0" w:line="240" w:lineRule="auto"/>
        <w:rPr>
          <w:rFonts w:ascii="Arial" w:hAnsi="Arial" w:cs="Arial"/>
          <w:b/>
          <w:sz w:val="25"/>
          <w:szCs w:val="25"/>
        </w:rPr>
      </w:pPr>
    </w:p>
    <w:p w:rsidR="00940B35" w:rsidRPr="00182F0E" w:rsidRDefault="00940B35" w:rsidP="00E67D65">
      <w:pPr>
        <w:spacing w:after="0" w:line="240" w:lineRule="auto"/>
        <w:rPr>
          <w:rFonts w:ascii="Arial" w:hAnsi="Arial" w:cs="Arial"/>
          <w:b/>
          <w:sz w:val="25"/>
          <w:szCs w:val="25"/>
        </w:rPr>
      </w:pPr>
    </w:p>
    <w:p w:rsidR="00940B35" w:rsidRPr="00182F0E" w:rsidRDefault="00940B35" w:rsidP="00E67D65">
      <w:pPr>
        <w:spacing w:after="0" w:line="240" w:lineRule="auto"/>
        <w:rPr>
          <w:rFonts w:ascii="Arial" w:hAnsi="Arial" w:cs="Arial"/>
          <w:b/>
          <w:sz w:val="25"/>
          <w:szCs w:val="25"/>
        </w:rPr>
      </w:pPr>
    </w:p>
    <w:p w:rsidR="00940B35" w:rsidRPr="00182F0E" w:rsidRDefault="00940B35" w:rsidP="00E67D65">
      <w:pPr>
        <w:spacing w:after="0" w:line="240" w:lineRule="auto"/>
        <w:rPr>
          <w:rFonts w:ascii="Arial" w:hAnsi="Arial" w:cs="Arial"/>
          <w:b/>
          <w:sz w:val="25"/>
          <w:szCs w:val="25"/>
        </w:rPr>
      </w:pPr>
      <w:r w:rsidRPr="00182F0E">
        <w:rPr>
          <w:rFonts w:ascii="Arial" w:hAnsi="Arial" w:cs="Arial"/>
          <w:b/>
          <w:sz w:val="25"/>
          <w:szCs w:val="25"/>
        </w:rPr>
        <w:t>FERNANDA ODETTE RENTERÍA MUÑOZ</w:t>
      </w:r>
    </w:p>
    <w:p w:rsidR="00940B35" w:rsidRPr="00182F0E" w:rsidRDefault="00940B35" w:rsidP="00E67D65">
      <w:pPr>
        <w:spacing w:after="0" w:line="240" w:lineRule="auto"/>
        <w:rPr>
          <w:rFonts w:ascii="Arial" w:hAnsi="Arial" w:cs="Arial"/>
          <w:b/>
          <w:sz w:val="25"/>
          <w:szCs w:val="25"/>
        </w:rPr>
      </w:pPr>
      <w:r w:rsidRPr="00182F0E">
        <w:rPr>
          <w:rFonts w:ascii="Arial" w:hAnsi="Arial" w:cs="Arial"/>
          <w:b/>
          <w:sz w:val="25"/>
          <w:szCs w:val="25"/>
        </w:rPr>
        <w:t>REGIDORA</w:t>
      </w:r>
    </w:p>
    <w:p w:rsidR="00A93DC3" w:rsidRPr="00182F0E" w:rsidRDefault="00E81494" w:rsidP="00E67D65">
      <w:pPr>
        <w:pStyle w:val="Prrafodelista"/>
        <w:spacing w:after="0" w:line="240" w:lineRule="auto"/>
        <w:ind w:left="0"/>
        <w:jc w:val="both"/>
        <w:rPr>
          <w:rFonts w:ascii="Arial" w:hAnsi="Arial" w:cs="Arial"/>
          <w:b/>
          <w:sz w:val="25"/>
          <w:szCs w:val="25"/>
        </w:rPr>
      </w:pPr>
      <w:r w:rsidRPr="00182F0E">
        <w:rPr>
          <w:rFonts w:ascii="Arial" w:hAnsi="Arial" w:cs="Arial"/>
          <w:b/>
          <w:sz w:val="25"/>
          <w:szCs w:val="25"/>
          <w:lang w:val="es-ES_tradnl" w:eastAsia="es-ES"/>
        </w:rPr>
        <w:br w:type="page"/>
      </w:r>
      <w:r w:rsidRPr="00182F0E">
        <w:rPr>
          <w:rFonts w:ascii="Arial" w:hAnsi="Arial" w:cs="Arial"/>
          <w:b/>
          <w:spacing w:val="-4"/>
          <w:sz w:val="25"/>
          <w:szCs w:val="25"/>
        </w:rPr>
        <w:lastRenderedPageBreak/>
        <w:t xml:space="preserve">OBSERVACIONES Y APORTACIONES TÉCNICO JURÍDICAS A LA </w:t>
      </w:r>
      <w:r w:rsidRPr="00182F0E">
        <w:rPr>
          <w:rFonts w:ascii="Arial" w:hAnsi="Arial" w:cs="Arial"/>
          <w:b/>
          <w:sz w:val="25"/>
          <w:szCs w:val="25"/>
        </w:rPr>
        <w:t xml:space="preserve">INICIATIVA PARA </w:t>
      </w:r>
      <w:r w:rsidR="00485A38" w:rsidRPr="00182F0E">
        <w:rPr>
          <w:rFonts w:ascii="Arial" w:hAnsi="Arial" w:cs="Arial"/>
          <w:b/>
          <w:sz w:val="25"/>
          <w:szCs w:val="25"/>
        </w:rPr>
        <w:t xml:space="preserve">REFORMAR </w:t>
      </w:r>
      <w:r w:rsidR="009D0523" w:rsidRPr="00182F0E">
        <w:rPr>
          <w:rFonts w:ascii="Arial" w:hAnsi="Arial" w:cs="Arial"/>
          <w:b/>
          <w:bCs/>
          <w:sz w:val="25"/>
          <w:szCs w:val="25"/>
          <w:shd w:val="clear" w:color="auto" w:fill="FFFFFF"/>
        </w:rPr>
        <w:t>LA FRACCIÓN XV DEL ARTÍCULO 44 Y ADICIÓN DE UN TERCER Y CUARTO PÁRRAFOS AL ARTÍCULO 52 A LA LEY DEL SISTEMA DE SEGURIDAD PÚBLICA DEL ESTADO DE GUANAJUATO</w:t>
      </w:r>
      <w:r w:rsidR="009D0523" w:rsidRPr="00182F0E">
        <w:rPr>
          <w:rFonts w:ascii="Arial" w:hAnsi="Arial" w:cs="Arial"/>
          <w:b/>
          <w:sz w:val="25"/>
          <w:szCs w:val="25"/>
        </w:rPr>
        <w:t>:</w:t>
      </w:r>
    </w:p>
    <w:p w:rsidR="00AE1A78" w:rsidRPr="00182F0E" w:rsidRDefault="00AE1A78" w:rsidP="00E67D65">
      <w:pPr>
        <w:shd w:val="clear" w:color="auto" w:fill="FFFFFF"/>
        <w:spacing w:after="0" w:line="240" w:lineRule="auto"/>
        <w:rPr>
          <w:rFonts w:ascii="Arial" w:eastAsia="Times New Roman" w:hAnsi="Arial" w:cs="Arial"/>
          <w:color w:val="000000"/>
          <w:sz w:val="25"/>
          <w:szCs w:val="25"/>
          <w:bdr w:val="none" w:sz="0" w:space="0" w:color="auto" w:frame="1"/>
          <w:lang w:eastAsia="es-MX"/>
        </w:rPr>
      </w:pPr>
    </w:p>
    <w:p w:rsidR="00A67FD4" w:rsidRPr="00A67FD4" w:rsidRDefault="00A67FD4" w:rsidP="00E67D65">
      <w:pPr>
        <w:spacing w:after="0" w:line="240" w:lineRule="auto"/>
        <w:jc w:val="both"/>
        <w:rPr>
          <w:rFonts w:ascii="Arial" w:hAnsi="Arial" w:cs="Arial"/>
          <w:b/>
          <w:sz w:val="25"/>
          <w:szCs w:val="25"/>
          <w:lang w:val="es-ES"/>
        </w:rPr>
      </w:pPr>
      <w:r>
        <w:rPr>
          <w:rFonts w:ascii="Arial" w:hAnsi="Arial" w:cs="Arial"/>
          <w:b/>
          <w:sz w:val="25"/>
          <w:szCs w:val="25"/>
          <w:lang w:val="es-ES"/>
        </w:rPr>
        <w:t>Comentarios generales:</w:t>
      </w:r>
    </w:p>
    <w:p w:rsidR="00A67FD4" w:rsidRDefault="00A67FD4" w:rsidP="00E67D65">
      <w:pPr>
        <w:spacing w:after="0" w:line="240" w:lineRule="auto"/>
        <w:jc w:val="both"/>
        <w:rPr>
          <w:rFonts w:ascii="Arial" w:hAnsi="Arial" w:cs="Arial"/>
          <w:sz w:val="25"/>
          <w:szCs w:val="25"/>
          <w:lang w:val="es-ES"/>
        </w:rPr>
      </w:pPr>
    </w:p>
    <w:p w:rsidR="00182F0E" w:rsidRPr="00182F0E" w:rsidRDefault="00FE346C" w:rsidP="00E67D65">
      <w:pPr>
        <w:spacing w:after="0" w:line="240" w:lineRule="auto"/>
        <w:jc w:val="both"/>
        <w:rPr>
          <w:rFonts w:ascii="Arial" w:hAnsi="Arial" w:cs="Arial"/>
          <w:sz w:val="25"/>
          <w:szCs w:val="25"/>
          <w:lang w:val="es-ES"/>
        </w:rPr>
      </w:pPr>
      <w:r>
        <w:rPr>
          <w:rFonts w:ascii="Arial" w:hAnsi="Arial" w:cs="Arial"/>
          <w:sz w:val="25"/>
          <w:szCs w:val="25"/>
          <w:lang w:val="es-ES"/>
        </w:rPr>
        <w:t xml:space="preserve">Es importante rescatar </w:t>
      </w:r>
      <w:r>
        <w:rPr>
          <w:rFonts w:ascii="Arial" w:hAnsi="Arial" w:cs="Arial"/>
          <w:sz w:val="25"/>
          <w:szCs w:val="25"/>
        </w:rPr>
        <w:t xml:space="preserve">la </w:t>
      </w:r>
      <w:r w:rsidRPr="00182F0E">
        <w:rPr>
          <w:rFonts w:ascii="Arial" w:hAnsi="Arial" w:cs="Arial"/>
          <w:sz w:val="25"/>
          <w:szCs w:val="25"/>
        </w:rPr>
        <w:t xml:space="preserve">confiabilidad de la ciudadanía </w:t>
      </w:r>
      <w:r>
        <w:rPr>
          <w:rFonts w:ascii="Arial" w:hAnsi="Arial" w:cs="Arial"/>
          <w:sz w:val="25"/>
          <w:szCs w:val="25"/>
        </w:rPr>
        <w:t>guanajuatense hacia su</w:t>
      </w:r>
      <w:r w:rsidRPr="00182F0E">
        <w:rPr>
          <w:rFonts w:ascii="Arial" w:hAnsi="Arial" w:cs="Arial"/>
          <w:sz w:val="25"/>
          <w:szCs w:val="25"/>
        </w:rPr>
        <w:t xml:space="preserve"> sistema </w:t>
      </w:r>
      <w:r w:rsidR="005441E4">
        <w:rPr>
          <w:rFonts w:ascii="Arial" w:hAnsi="Arial" w:cs="Arial"/>
          <w:sz w:val="25"/>
          <w:szCs w:val="25"/>
        </w:rPr>
        <w:t xml:space="preserve">y corporaciones </w:t>
      </w:r>
      <w:r w:rsidRPr="00182F0E">
        <w:rPr>
          <w:rFonts w:ascii="Arial" w:hAnsi="Arial" w:cs="Arial"/>
          <w:sz w:val="25"/>
          <w:szCs w:val="25"/>
        </w:rPr>
        <w:t xml:space="preserve">de seguridad, logrando a su vez que los índices delictivos registrados en el territorio </w:t>
      </w:r>
      <w:r>
        <w:rPr>
          <w:rFonts w:ascii="Arial" w:hAnsi="Arial" w:cs="Arial"/>
          <w:sz w:val="25"/>
          <w:szCs w:val="25"/>
        </w:rPr>
        <w:t>disminuyan considerablemente</w:t>
      </w:r>
      <w:r w:rsidR="005441E4">
        <w:rPr>
          <w:rFonts w:ascii="Arial" w:hAnsi="Arial" w:cs="Arial"/>
          <w:sz w:val="25"/>
          <w:szCs w:val="25"/>
        </w:rPr>
        <w:t>;</w:t>
      </w:r>
      <w:r>
        <w:rPr>
          <w:rFonts w:ascii="Arial" w:hAnsi="Arial" w:cs="Arial"/>
          <w:sz w:val="25"/>
          <w:szCs w:val="25"/>
        </w:rPr>
        <w:t xml:space="preserve"> por ello, l</w:t>
      </w:r>
      <w:r w:rsidR="00182F0E">
        <w:rPr>
          <w:rFonts w:ascii="Arial" w:hAnsi="Arial" w:cs="Arial"/>
          <w:sz w:val="25"/>
          <w:szCs w:val="25"/>
        </w:rPr>
        <w:t xml:space="preserve">os </w:t>
      </w:r>
      <w:r>
        <w:rPr>
          <w:rFonts w:ascii="Arial" w:hAnsi="Arial" w:cs="Arial"/>
          <w:sz w:val="25"/>
          <w:szCs w:val="25"/>
        </w:rPr>
        <w:t xml:space="preserve">dispositivos legales para la obligación de las </w:t>
      </w:r>
      <w:r w:rsidR="00182F0E" w:rsidRPr="00182F0E">
        <w:rPr>
          <w:rFonts w:ascii="Arial" w:hAnsi="Arial" w:cs="Arial"/>
          <w:sz w:val="25"/>
          <w:szCs w:val="25"/>
        </w:rPr>
        <w:t>evaluaciones de control de confianza a personal de las instituciones de seguridad pública en el Estado,</w:t>
      </w:r>
      <w:r>
        <w:rPr>
          <w:rFonts w:ascii="Arial" w:hAnsi="Arial" w:cs="Arial"/>
          <w:sz w:val="25"/>
          <w:szCs w:val="25"/>
        </w:rPr>
        <w:t xml:space="preserve"> así como los procedimientos en su aplicación,</w:t>
      </w:r>
      <w:r w:rsidR="00182F0E" w:rsidRPr="00182F0E">
        <w:rPr>
          <w:rFonts w:ascii="Arial" w:hAnsi="Arial" w:cs="Arial"/>
          <w:sz w:val="25"/>
          <w:szCs w:val="25"/>
        </w:rPr>
        <w:t xml:space="preserve"> </w:t>
      </w:r>
      <w:r>
        <w:rPr>
          <w:rFonts w:ascii="Arial" w:hAnsi="Arial" w:cs="Arial"/>
          <w:sz w:val="25"/>
          <w:szCs w:val="25"/>
        </w:rPr>
        <w:t>deben asegurar l</w:t>
      </w:r>
      <w:r w:rsidR="00182F0E" w:rsidRPr="00182F0E">
        <w:rPr>
          <w:rFonts w:ascii="Arial" w:hAnsi="Arial" w:cs="Arial"/>
          <w:sz w:val="25"/>
          <w:szCs w:val="25"/>
        </w:rPr>
        <w:t>a conformación de elementos confiables</w:t>
      </w:r>
      <w:r>
        <w:rPr>
          <w:rFonts w:ascii="Arial" w:hAnsi="Arial" w:cs="Arial"/>
          <w:sz w:val="25"/>
          <w:szCs w:val="25"/>
          <w:lang w:val="es-ES"/>
        </w:rPr>
        <w:t>.</w:t>
      </w:r>
    </w:p>
    <w:p w:rsidR="00FE346C" w:rsidRDefault="00FE346C" w:rsidP="00E67D65">
      <w:pPr>
        <w:spacing w:after="0" w:line="240" w:lineRule="auto"/>
        <w:jc w:val="both"/>
        <w:rPr>
          <w:rFonts w:ascii="Arial" w:hAnsi="Arial" w:cs="Arial"/>
          <w:sz w:val="25"/>
          <w:szCs w:val="25"/>
          <w:lang w:val="es-ES"/>
        </w:rPr>
      </w:pPr>
    </w:p>
    <w:p w:rsidR="00182F0E" w:rsidRDefault="00FE346C" w:rsidP="00E67D65">
      <w:pPr>
        <w:spacing w:after="0" w:line="240" w:lineRule="auto"/>
        <w:jc w:val="both"/>
        <w:rPr>
          <w:rFonts w:ascii="Arial" w:hAnsi="Arial" w:cs="Arial"/>
          <w:sz w:val="25"/>
          <w:szCs w:val="25"/>
        </w:rPr>
      </w:pPr>
      <w:r>
        <w:rPr>
          <w:rFonts w:ascii="Arial" w:hAnsi="Arial" w:cs="Arial"/>
          <w:sz w:val="25"/>
          <w:szCs w:val="25"/>
        </w:rPr>
        <w:t>Este Ayuntamiento coincide con el objetivo general de la iniciativa, pues al establecer la posibilidad de</w:t>
      </w:r>
      <w:r w:rsidR="005441E4">
        <w:rPr>
          <w:rFonts w:ascii="Arial" w:hAnsi="Arial" w:cs="Arial"/>
          <w:sz w:val="25"/>
          <w:szCs w:val="25"/>
        </w:rPr>
        <w:t xml:space="preserve"> que sean</w:t>
      </w:r>
      <w:r>
        <w:rPr>
          <w:rFonts w:ascii="Arial" w:hAnsi="Arial" w:cs="Arial"/>
          <w:sz w:val="25"/>
          <w:szCs w:val="25"/>
        </w:rPr>
        <w:t xml:space="preserve"> los superiores jerárquicos</w:t>
      </w:r>
      <w:r w:rsidR="00A67FD4">
        <w:rPr>
          <w:rFonts w:ascii="Arial" w:hAnsi="Arial" w:cs="Arial"/>
          <w:sz w:val="25"/>
          <w:szCs w:val="25"/>
        </w:rPr>
        <w:t xml:space="preserve"> en materia de seguridad pública,</w:t>
      </w:r>
      <w:r w:rsidR="005441E4">
        <w:rPr>
          <w:rFonts w:ascii="Arial" w:hAnsi="Arial" w:cs="Arial"/>
          <w:sz w:val="25"/>
          <w:szCs w:val="25"/>
        </w:rPr>
        <w:t xml:space="preserve"> quienes puedan</w:t>
      </w:r>
      <w:r>
        <w:rPr>
          <w:rFonts w:ascii="Arial" w:hAnsi="Arial" w:cs="Arial"/>
          <w:sz w:val="25"/>
          <w:szCs w:val="25"/>
        </w:rPr>
        <w:t xml:space="preserve"> </w:t>
      </w:r>
      <w:r w:rsidRPr="00B719F4">
        <w:rPr>
          <w:rFonts w:ascii="Arial" w:hAnsi="Arial" w:cs="Arial"/>
          <w:sz w:val="25"/>
          <w:szCs w:val="25"/>
        </w:rPr>
        <w:t xml:space="preserve">ordenar </w:t>
      </w:r>
      <w:r w:rsidR="00A67FD4" w:rsidRPr="00B719F4">
        <w:rPr>
          <w:rFonts w:ascii="Arial" w:hAnsi="Arial" w:cs="Arial"/>
          <w:sz w:val="25"/>
          <w:szCs w:val="25"/>
        </w:rPr>
        <w:t>a cualquier servidor integrante</w:t>
      </w:r>
      <w:r w:rsidRPr="00B719F4">
        <w:rPr>
          <w:rFonts w:ascii="Arial" w:hAnsi="Arial" w:cs="Arial"/>
          <w:sz w:val="25"/>
          <w:szCs w:val="25"/>
        </w:rPr>
        <w:t xml:space="preserve"> de una institución, la actualización de su evaluación de controles de confianza, antes del término de la vigencia, les </w:t>
      </w:r>
      <w:r w:rsidR="00A67FD4" w:rsidRPr="00B719F4">
        <w:rPr>
          <w:rFonts w:ascii="Arial" w:hAnsi="Arial" w:cs="Arial"/>
          <w:sz w:val="25"/>
          <w:szCs w:val="25"/>
        </w:rPr>
        <w:t>proporciona una herramienta objetiva</w:t>
      </w:r>
      <w:r w:rsidRPr="00B719F4">
        <w:rPr>
          <w:rFonts w:ascii="Arial" w:hAnsi="Arial" w:cs="Arial"/>
          <w:sz w:val="25"/>
          <w:szCs w:val="25"/>
        </w:rPr>
        <w:t xml:space="preserve"> </w:t>
      </w:r>
      <w:r w:rsidR="00B719F4" w:rsidRPr="00B719F4">
        <w:rPr>
          <w:rFonts w:ascii="Arial" w:hAnsi="Arial" w:cs="Arial"/>
          <w:sz w:val="25"/>
          <w:szCs w:val="25"/>
        </w:rPr>
        <w:t xml:space="preserve">que les permita verificar </w:t>
      </w:r>
      <w:r w:rsidR="00B719F4" w:rsidRPr="00B719F4">
        <w:rPr>
          <w:rFonts w:ascii="Arial" w:hAnsi="Arial" w:cs="Arial"/>
          <w:color w:val="000000"/>
          <w:sz w:val="25"/>
          <w:szCs w:val="25"/>
        </w:rPr>
        <w:t xml:space="preserve">que esos </w:t>
      </w:r>
      <w:r w:rsidR="005441E4">
        <w:rPr>
          <w:rFonts w:ascii="Arial" w:hAnsi="Arial" w:cs="Arial"/>
          <w:color w:val="000000"/>
          <w:sz w:val="25"/>
          <w:szCs w:val="25"/>
        </w:rPr>
        <w:t xml:space="preserve">funcionarios </w:t>
      </w:r>
      <w:r w:rsidR="00B719F4" w:rsidRPr="00B719F4">
        <w:rPr>
          <w:rFonts w:ascii="Arial" w:hAnsi="Arial" w:cs="Arial"/>
          <w:color w:val="000000"/>
          <w:sz w:val="25"/>
          <w:szCs w:val="25"/>
        </w:rPr>
        <w:t>cumplen con los principios</w:t>
      </w:r>
      <w:r w:rsidR="005441E4">
        <w:rPr>
          <w:rFonts w:ascii="Arial" w:hAnsi="Arial" w:cs="Arial"/>
          <w:color w:val="000000"/>
          <w:sz w:val="25"/>
          <w:szCs w:val="25"/>
        </w:rPr>
        <w:t xml:space="preserve"> constitucionales</w:t>
      </w:r>
      <w:r w:rsidR="00B719F4" w:rsidRPr="00B719F4">
        <w:rPr>
          <w:rFonts w:ascii="Arial" w:hAnsi="Arial" w:cs="Arial"/>
          <w:color w:val="000000"/>
          <w:sz w:val="25"/>
          <w:szCs w:val="25"/>
        </w:rPr>
        <w:t xml:space="preserve"> de legalidad, eficacia, profesionalismo, honradez, lealtad, imparcialidad y respeto a los derechos humanos, por lo que, de satisfacer los requisitos previstos en la ley y demás disposiciones, podrán continuar en el desempeño del cargo</w:t>
      </w:r>
      <w:r w:rsidR="00A67FD4">
        <w:rPr>
          <w:rFonts w:ascii="Arial" w:hAnsi="Arial" w:cs="Arial"/>
          <w:sz w:val="25"/>
          <w:szCs w:val="25"/>
        </w:rPr>
        <w:t xml:space="preserve">, brindando con ello, considerables </w:t>
      </w:r>
      <w:r w:rsidR="00B719F4">
        <w:rPr>
          <w:rFonts w:ascii="Arial" w:hAnsi="Arial" w:cs="Arial"/>
          <w:sz w:val="25"/>
          <w:szCs w:val="25"/>
        </w:rPr>
        <w:t>beneficios en</w:t>
      </w:r>
      <w:r w:rsidR="00182F0E" w:rsidRPr="00182F0E">
        <w:rPr>
          <w:rFonts w:ascii="Arial" w:hAnsi="Arial" w:cs="Arial"/>
          <w:sz w:val="25"/>
          <w:szCs w:val="25"/>
        </w:rPr>
        <w:t xml:space="preserve"> favor</w:t>
      </w:r>
      <w:r w:rsidR="00A67FD4">
        <w:rPr>
          <w:rFonts w:ascii="Arial" w:hAnsi="Arial" w:cs="Arial"/>
          <w:sz w:val="25"/>
          <w:szCs w:val="25"/>
        </w:rPr>
        <w:t xml:space="preserve"> tanto de la administración pública y su indudable repercusión a la ciudadanía.</w:t>
      </w:r>
    </w:p>
    <w:p w:rsidR="00A67FD4" w:rsidRPr="00E67D65" w:rsidRDefault="00A67FD4" w:rsidP="00E67D65">
      <w:pPr>
        <w:spacing w:after="0" w:line="240" w:lineRule="auto"/>
        <w:jc w:val="both"/>
        <w:rPr>
          <w:rFonts w:ascii="Arial" w:hAnsi="Arial" w:cs="Arial"/>
          <w:sz w:val="25"/>
          <w:szCs w:val="25"/>
        </w:rPr>
      </w:pPr>
    </w:p>
    <w:p w:rsidR="00A67FD4" w:rsidRPr="00E67D65" w:rsidRDefault="00A67FD4" w:rsidP="00E67D65">
      <w:pPr>
        <w:spacing w:after="0" w:line="240" w:lineRule="auto"/>
        <w:jc w:val="both"/>
        <w:rPr>
          <w:rFonts w:ascii="Arial" w:hAnsi="Arial" w:cs="Arial"/>
          <w:b/>
          <w:sz w:val="25"/>
          <w:szCs w:val="25"/>
        </w:rPr>
      </w:pPr>
      <w:r w:rsidRPr="00E67D65">
        <w:rPr>
          <w:rFonts w:ascii="Arial" w:hAnsi="Arial" w:cs="Arial"/>
          <w:b/>
          <w:sz w:val="25"/>
          <w:szCs w:val="25"/>
        </w:rPr>
        <w:t>Comentarios en particular</w:t>
      </w:r>
    </w:p>
    <w:p w:rsidR="00E67D65" w:rsidRPr="00E67D65" w:rsidRDefault="00E67D65" w:rsidP="00E67D65">
      <w:pPr>
        <w:spacing w:after="0" w:line="240" w:lineRule="auto"/>
        <w:jc w:val="both"/>
        <w:rPr>
          <w:rFonts w:ascii="Arial" w:hAnsi="Arial" w:cs="Arial"/>
          <w:b/>
          <w:sz w:val="25"/>
          <w:szCs w:val="25"/>
        </w:rPr>
      </w:pPr>
    </w:p>
    <w:p w:rsidR="00E67D65" w:rsidRPr="00E67D65" w:rsidRDefault="00E67D65" w:rsidP="00E67D65">
      <w:pPr>
        <w:spacing w:after="0" w:line="240" w:lineRule="auto"/>
        <w:jc w:val="both"/>
        <w:rPr>
          <w:rFonts w:ascii="Arial" w:hAnsi="Arial" w:cs="Arial"/>
          <w:b/>
          <w:sz w:val="25"/>
          <w:szCs w:val="25"/>
        </w:rPr>
      </w:pPr>
      <w:r w:rsidRPr="00E67D65">
        <w:rPr>
          <w:rFonts w:ascii="Arial" w:hAnsi="Arial" w:cs="Arial"/>
          <w:b/>
          <w:sz w:val="25"/>
          <w:szCs w:val="25"/>
        </w:rPr>
        <w:t xml:space="preserve">En cuanto a la fracción XV del artículo 44. </w:t>
      </w:r>
    </w:p>
    <w:p w:rsidR="00E67D65" w:rsidRPr="00E67D65" w:rsidRDefault="00E67D65" w:rsidP="00E67D65">
      <w:pPr>
        <w:spacing w:after="0" w:line="240" w:lineRule="auto"/>
        <w:jc w:val="both"/>
        <w:rPr>
          <w:rFonts w:ascii="Arial" w:hAnsi="Arial" w:cs="Arial"/>
          <w:b/>
          <w:sz w:val="25"/>
          <w:szCs w:val="25"/>
        </w:rPr>
      </w:pPr>
    </w:p>
    <w:p w:rsidR="0083371A" w:rsidRDefault="00E67D65" w:rsidP="00E67D65">
      <w:pPr>
        <w:spacing w:after="0" w:line="240" w:lineRule="auto"/>
        <w:jc w:val="both"/>
        <w:rPr>
          <w:rFonts w:ascii="Arial" w:hAnsi="Arial" w:cs="Arial"/>
          <w:sz w:val="25"/>
          <w:szCs w:val="25"/>
        </w:rPr>
      </w:pPr>
      <w:r>
        <w:rPr>
          <w:rFonts w:ascii="Arial" w:hAnsi="Arial" w:cs="Arial"/>
          <w:sz w:val="25"/>
          <w:szCs w:val="25"/>
        </w:rPr>
        <w:t xml:space="preserve">Se considera que la </w:t>
      </w:r>
      <w:r w:rsidRPr="00E67D65">
        <w:rPr>
          <w:rFonts w:ascii="Arial" w:hAnsi="Arial" w:cs="Arial"/>
          <w:sz w:val="25"/>
          <w:szCs w:val="25"/>
        </w:rPr>
        <w:t xml:space="preserve">redacción propuesta </w:t>
      </w:r>
      <w:r>
        <w:rPr>
          <w:rFonts w:ascii="Arial" w:hAnsi="Arial" w:cs="Arial"/>
          <w:sz w:val="25"/>
          <w:szCs w:val="25"/>
        </w:rPr>
        <w:t xml:space="preserve">no </w:t>
      </w:r>
      <w:r w:rsidRPr="00E67D65">
        <w:rPr>
          <w:rFonts w:ascii="Arial" w:hAnsi="Arial" w:cs="Arial"/>
          <w:sz w:val="25"/>
          <w:szCs w:val="25"/>
        </w:rPr>
        <w:t xml:space="preserve">cumple con el objetivo </w:t>
      </w:r>
      <w:r>
        <w:rPr>
          <w:rFonts w:ascii="Arial" w:hAnsi="Arial" w:cs="Arial"/>
          <w:sz w:val="25"/>
          <w:szCs w:val="25"/>
        </w:rPr>
        <w:t xml:space="preserve">general </w:t>
      </w:r>
      <w:r w:rsidRPr="00E67D65">
        <w:rPr>
          <w:rFonts w:ascii="Arial" w:hAnsi="Arial" w:cs="Arial"/>
          <w:sz w:val="25"/>
          <w:szCs w:val="25"/>
        </w:rPr>
        <w:t xml:space="preserve">que se plantea en la exposición de motivos, pues se </w:t>
      </w:r>
      <w:r>
        <w:rPr>
          <w:rFonts w:ascii="Arial" w:hAnsi="Arial" w:cs="Arial"/>
          <w:sz w:val="25"/>
          <w:szCs w:val="25"/>
        </w:rPr>
        <w:t xml:space="preserve">pudiera </w:t>
      </w:r>
      <w:r w:rsidRPr="00E67D65">
        <w:rPr>
          <w:rFonts w:ascii="Arial" w:hAnsi="Arial" w:cs="Arial"/>
          <w:sz w:val="25"/>
          <w:szCs w:val="25"/>
        </w:rPr>
        <w:t>desprende</w:t>
      </w:r>
      <w:r>
        <w:rPr>
          <w:rFonts w:ascii="Arial" w:hAnsi="Arial" w:cs="Arial"/>
          <w:sz w:val="25"/>
          <w:szCs w:val="25"/>
        </w:rPr>
        <w:t>r de la misma que elimina</w:t>
      </w:r>
      <w:r w:rsidRPr="00E67D65">
        <w:rPr>
          <w:rFonts w:ascii="Arial" w:hAnsi="Arial" w:cs="Arial"/>
          <w:sz w:val="25"/>
          <w:szCs w:val="25"/>
        </w:rPr>
        <w:t xml:space="preserve"> la obligación por Ley </w:t>
      </w:r>
      <w:r w:rsidR="005441E4">
        <w:rPr>
          <w:rFonts w:ascii="Arial" w:hAnsi="Arial" w:cs="Arial"/>
          <w:sz w:val="25"/>
          <w:szCs w:val="25"/>
        </w:rPr>
        <w:t xml:space="preserve">–por término de su vigencia- </w:t>
      </w:r>
      <w:r w:rsidRPr="00E67D65">
        <w:rPr>
          <w:rFonts w:ascii="Arial" w:hAnsi="Arial" w:cs="Arial"/>
          <w:sz w:val="25"/>
          <w:szCs w:val="25"/>
        </w:rPr>
        <w:t>a</w:t>
      </w:r>
      <w:r>
        <w:rPr>
          <w:rFonts w:ascii="Arial" w:hAnsi="Arial" w:cs="Arial"/>
          <w:sz w:val="25"/>
          <w:szCs w:val="25"/>
        </w:rPr>
        <w:t>l sometimiento de</w:t>
      </w:r>
      <w:r w:rsidRPr="00E67D65">
        <w:rPr>
          <w:rFonts w:ascii="Arial" w:hAnsi="Arial" w:cs="Arial"/>
          <w:sz w:val="25"/>
          <w:szCs w:val="25"/>
        </w:rPr>
        <w:t xml:space="preserve"> las evaluaciones de control de confianza, dejando de forma discrecional su aplicación</w:t>
      </w:r>
      <w:r w:rsidR="0083371A">
        <w:rPr>
          <w:rFonts w:ascii="Arial" w:hAnsi="Arial" w:cs="Arial"/>
          <w:sz w:val="25"/>
          <w:szCs w:val="25"/>
        </w:rPr>
        <w:t xml:space="preserve"> sólo</w:t>
      </w:r>
      <w:r w:rsidRPr="00E67D65">
        <w:rPr>
          <w:rFonts w:ascii="Arial" w:hAnsi="Arial" w:cs="Arial"/>
          <w:sz w:val="25"/>
          <w:szCs w:val="25"/>
        </w:rPr>
        <w:t xml:space="preserve"> por orden de un superior, por lo que se sugiere</w:t>
      </w:r>
      <w:r w:rsidR="0083371A">
        <w:rPr>
          <w:rFonts w:ascii="Arial" w:hAnsi="Arial" w:cs="Arial"/>
          <w:sz w:val="25"/>
          <w:szCs w:val="25"/>
        </w:rPr>
        <w:t xml:space="preserve"> para cumplir eficazmente con la finalidad la siguiente redacción: </w:t>
      </w:r>
    </w:p>
    <w:p w:rsidR="0083371A" w:rsidRDefault="0083371A" w:rsidP="00E67D65">
      <w:pPr>
        <w:spacing w:after="0" w:line="240" w:lineRule="auto"/>
        <w:jc w:val="both"/>
        <w:rPr>
          <w:rFonts w:ascii="Arial" w:hAnsi="Arial" w:cs="Arial"/>
          <w:sz w:val="25"/>
          <w:szCs w:val="25"/>
        </w:rPr>
      </w:pPr>
    </w:p>
    <w:p w:rsidR="00E67D65" w:rsidRPr="0083371A" w:rsidRDefault="00E67D65" w:rsidP="00E67D65">
      <w:pPr>
        <w:spacing w:after="0" w:line="240" w:lineRule="auto"/>
        <w:jc w:val="both"/>
        <w:rPr>
          <w:rFonts w:ascii="Arial" w:hAnsi="Arial" w:cs="Arial"/>
          <w:b/>
          <w:sz w:val="24"/>
          <w:szCs w:val="24"/>
        </w:rPr>
      </w:pPr>
      <w:r w:rsidRPr="0083371A">
        <w:rPr>
          <w:rFonts w:ascii="Arial" w:hAnsi="Arial" w:cs="Arial"/>
          <w:sz w:val="24"/>
          <w:szCs w:val="24"/>
        </w:rPr>
        <w:t>“</w:t>
      </w:r>
      <w:r w:rsidRPr="0083371A">
        <w:rPr>
          <w:rFonts w:ascii="Arial" w:hAnsi="Arial" w:cs="Arial"/>
          <w:i/>
          <w:sz w:val="24"/>
          <w:szCs w:val="24"/>
          <w:lang w:val="es-ES"/>
        </w:rPr>
        <w:t xml:space="preserve">Someterse a evaluaciones de control de confianza y a los procedimientos de evaluación del desempeño en los términos y condiciones que determina la ley </w:t>
      </w:r>
      <w:r w:rsidR="0083371A" w:rsidRPr="0083371A">
        <w:rPr>
          <w:rFonts w:ascii="Arial" w:hAnsi="Arial" w:cs="Arial"/>
          <w:b/>
          <w:i/>
          <w:sz w:val="24"/>
          <w:szCs w:val="24"/>
          <w:lang w:val="es-ES"/>
        </w:rPr>
        <w:t>o cuando</w:t>
      </w:r>
      <w:r w:rsidRPr="0083371A">
        <w:rPr>
          <w:rFonts w:ascii="Arial" w:hAnsi="Arial" w:cs="Arial"/>
          <w:b/>
          <w:i/>
          <w:sz w:val="24"/>
          <w:szCs w:val="24"/>
          <w:lang w:val="es-ES"/>
        </w:rPr>
        <w:t xml:space="preserve"> lo ordenen sus superiores”</w:t>
      </w:r>
    </w:p>
    <w:p w:rsidR="00E67D65" w:rsidRDefault="00E67D65" w:rsidP="00E67D65">
      <w:pPr>
        <w:spacing w:after="0" w:line="240" w:lineRule="auto"/>
        <w:jc w:val="both"/>
        <w:rPr>
          <w:rFonts w:ascii="Arial" w:hAnsi="Arial" w:cs="Arial"/>
          <w:b/>
          <w:sz w:val="25"/>
          <w:szCs w:val="25"/>
        </w:rPr>
      </w:pPr>
    </w:p>
    <w:p w:rsidR="0083371A" w:rsidRDefault="0083371A" w:rsidP="00E67D65">
      <w:pPr>
        <w:spacing w:after="0" w:line="240" w:lineRule="auto"/>
        <w:jc w:val="both"/>
        <w:rPr>
          <w:rFonts w:ascii="Arial" w:hAnsi="Arial" w:cs="Arial"/>
          <w:b/>
          <w:sz w:val="25"/>
          <w:szCs w:val="25"/>
        </w:rPr>
      </w:pPr>
    </w:p>
    <w:p w:rsidR="0083371A" w:rsidRPr="00E67D65" w:rsidRDefault="0083371A" w:rsidP="00E67D65">
      <w:pPr>
        <w:spacing w:after="0" w:line="240" w:lineRule="auto"/>
        <w:jc w:val="both"/>
        <w:rPr>
          <w:rFonts w:ascii="Arial" w:hAnsi="Arial" w:cs="Arial"/>
          <w:b/>
          <w:sz w:val="25"/>
          <w:szCs w:val="25"/>
        </w:rPr>
      </w:pPr>
    </w:p>
    <w:p w:rsidR="00A67FD4" w:rsidRPr="00E67D65" w:rsidRDefault="00A67FD4" w:rsidP="00E67D65">
      <w:pPr>
        <w:spacing w:after="0" w:line="240" w:lineRule="auto"/>
        <w:jc w:val="both"/>
        <w:rPr>
          <w:rFonts w:ascii="Arial" w:hAnsi="Arial" w:cs="Arial"/>
          <w:b/>
          <w:sz w:val="25"/>
          <w:szCs w:val="25"/>
        </w:rPr>
      </w:pPr>
    </w:p>
    <w:p w:rsidR="00A67FD4" w:rsidRPr="00E67D65" w:rsidRDefault="00A67FD4" w:rsidP="00E67D65">
      <w:pPr>
        <w:spacing w:after="0" w:line="240" w:lineRule="auto"/>
        <w:jc w:val="both"/>
        <w:rPr>
          <w:rFonts w:ascii="Arial" w:hAnsi="Arial" w:cs="Arial"/>
          <w:b/>
          <w:color w:val="222222"/>
          <w:sz w:val="25"/>
          <w:szCs w:val="25"/>
          <w:shd w:val="clear" w:color="auto" w:fill="FFFFFF"/>
        </w:rPr>
      </w:pPr>
      <w:r w:rsidRPr="00E67D65">
        <w:rPr>
          <w:rFonts w:ascii="Arial" w:hAnsi="Arial" w:cs="Arial"/>
          <w:b/>
          <w:color w:val="222222"/>
          <w:sz w:val="25"/>
          <w:szCs w:val="25"/>
          <w:shd w:val="clear" w:color="auto" w:fill="FFFFFF"/>
        </w:rPr>
        <w:t>Respecto al artículo 52 último párrafo:</w:t>
      </w:r>
    </w:p>
    <w:p w:rsidR="00A67FD4" w:rsidRPr="00E67D65" w:rsidRDefault="00A67FD4" w:rsidP="00E67D65">
      <w:pPr>
        <w:spacing w:after="0" w:line="240" w:lineRule="auto"/>
        <w:jc w:val="both"/>
        <w:rPr>
          <w:rFonts w:ascii="Arial" w:hAnsi="Arial" w:cs="Arial"/>
          <w:b/>
          <w:color w:val="222222"/>
          <w:sz w:val="25"/>
          <w:szCs w:val="25"/>
          <w:shd w:val="clear" w:color="auto" w:fill="FFFFFF"/>
        </w:rPr>
      </w:pPr>
    </w:p>
    <w:p w:rsidR="00A67FD4" w:rsidRPr="0083371A" w:rsidRDefault="00A67FD4" w:rsidP="00E67D65">
      <w:pPr>
        <w:shd w:val="clear" w:color="auto" w:fill="FFFFFF"/>
        <w:spacing w:after="0" w:line="240" w:lineRule="auto"/>
        <w:jc w:val="both"/>
        <w:rPr>
          <w:rFonts w:ascii="Arial" w:eastAsia="Times New Roman" w:hAnsi="Arial" w:cs="Arial"/>
          <w:color w:val="222222"/>
          <w:sz w:val="25"/>
          <w:szCs w:val="25"/>
          <w:lang w:eastAsia="es-MX"/>
        </w:rPr>
      </w:pPr>
      <w:r w:rsidRPr="00E67D65">
        <w:rPr>
          <w:rFonts w:ascii="Arial" w:eastAsia="Times New Roman" w:hAnsi="Arial" w:cs="Arial"/>
          <w:color w:val="222222"/>
          <w:sz w:val="25"/>
          <w:szCs w:val="25"/>
          <w:lang w:eastAsia="es-MX"/>
        </w:rPr>
        <w:t xml:space="preserve">Establece </w:t>
      </w:r>
      <w:r w:rsidRPr="00A67FD4">
        <w:rPr>
          <w:rFonts w:ascii="Arial" w:eastAsia="Times New Roman" w:hAnsi="Arial" w:cs="Arial"/>
          <w:color w:val="222222"/>
          <w:sz w:val="25"/>
          <w:szCs w:val="25"/>
          <w:lang w:eastAsia="es-MX"/>
        </w:rPr>
        <w:t>que el certificado de control y confianza tenga una vigencia de seis meses para puestos sensibles por función, acceso a la infor</w:t>
      </w:r>
      <w:r w:rsidRPr="00E67D65">
        <w:rPr>
          <w:rFonts w:ascii="Arial" w:eastAsia="Times New Roman" w:hAnsi="Arial" w:cs="Arial"/>
          <w:color w:val="222222"/>
          <w:sz w:val="25"/>
          <w:szCs w:val="25"/>
          <w:lang w:eastAsia="es-MX"/>
        </w:rPr>
        <w:t>mación o contexto de</w:t>
      </w:r>
      <w:r w:rsidR="005441E4">
        <w:rPr>
          <w:rFonts w:ascii="Arial" w:eastAsia="Times New Roman" w:hAnsi="Arial" w:cs="Arial"/>
          <w:color w:val="222222"/>
          <w:sz w:val="25"/>
          <w:szCs w:val="25"/>
          <w:lang w:eastAsia="es-MX"/>
        </w:rPr>
        <w:t xml:space="preserve"> la entidad. S</w:t>
      </w:r>
      <w:r w:rsidRPr="0083371A">
        <w:rPr>
          <w:rFonts w:ascii="Arial" w:eastAsia="Times New Roman" w:hAnsi="Arial" w:cs="Arial"/>
          <w:color w:val="222222"/>
          <w:sz w:val="25"/>
          <w:szCs w:val="25"/>
          <w:lang w:eastAsia="es-MX"/>
        </w:rPr>
        <w:t xml:space="preserve">in embargo debe considerarse que </w:t>
      </w:r>
      <w:r w:rsidRPr="00A67FD4">
        <w:rPr>
          <w:rFonts w:ascii="Arial" w:eastAsia="Times New Roman" w:hAnsi="Arial" w:cs="Arial"/>
          <w:color w:val="222222"/>
          <w:sz w:val="25"/>
          <w:szCs w:val="25"/>
          <w:lang w:eastAsia="es-MX"/>
        </w:rPr>
        <w:t xml:space="preserve">el artículo 16 del Reglamento de Evaluaciones del Centro de Evaluación y Control de Confianza del Estado de Guanajuato, señala que </w:t>
      </w:r>
      <w:r w:rsidRPr="0083371A">
        <w:rPr>
          <w:rFonts w:ascii="Arial" w:eastAsia="Times New Roman" w:hAnsi="Arial" w:cs="Arial"/>
          <w:color w:val="222222"/>
          <w:sz w:val="25"/>
          <w:szCs w:val="25"/>
          <w:lang w:eastAsia="es-MX"/>
        </w:rPr>
        <w:t>“</w:t>
      </w:r>
      <w:r w:rsidRPr="00A67FD4">
        <w:rPr>
          <w:rFonts w:ascii="Arial" w:eastAsia="Times New Roman" w:hAnsi="Arial" w:cs="Arial"/>
          <w:color w:val="222222"/>
          <w:sz w:val="25"/>
          <w:szCs w:val="25"/>
          <w:lang w:eastAsia="es-MX"/>
        </w:rPr>
        <w:t xml:space="preserve">dentro de las Instituciones de Seguridad Pública </w:t>
      </w:r>
      <w:r w:rsidRPr="00A67FD4">
        <w:rPr>
          <w:rFonts w:ascii="Arial" w:eastAsia="Times New Roman" w:hAnsi="Arial" w:cs="Arial"/>
          <w:b/>
          <w:color w:val="222222"/>
          <w:sz w:val="25"/>
          <w:szCs w:val="25"/>
          <w:lang w:eastAsia="es-MX"/>
        </w:rPr>
        <w:t>se consideran funciones sensibles</w:t>
      </w:r>
      <w:r w:rsidRPr="00A67FD4">
        <w:rPr>
          <w:rFonts w:ascii="Arial" w:eastAsia="Times New Roman" w:hAnsi="Arial" w:cs="Arial"/>
          <w:color w:val="222222"/>
          <w:sz w:val="25"/>
          <w:szCs w:val="25"/>
          <w:lang w:eastAsia="es-MX"/>
        </w:rPr>
        <w:t xml:space="preserve"> las realizadas por personal de los centros de control, comando, comunicaciones y cómputo, y de las unidades de análisis,</w:t>
      </w:r>
      <w:r w:rsidRPr="0083371A">
        <w:rPr>
          <w:rFonts w:ascii="Arial" w:eastAsia="Times New Roman" w:hAnsi="Arial" w:cs="Arial"/>
          <w:color w:val="222222"/>
          <w:sz w:val="25"/>
          <w:szCs w:val="25"/>
          <w:lang w:eastAsia="es-MX"/>
        </w:rPr>
        <w:t xml:space="preserve"> antisecuestro y antiterrorismo”.</w:t>
      </w:r>
    </w:p>
    <w:p w:rsidR="00A67FD4" w:rsidRDefault="00A67FD4" w:rsidP="00E67D65">
      <w:pPr>
        <w:shd w:val="clear" w:color="auto" w:fill="FFFFFF"/>
        <w:spacing w:after="0" w:line="240" w:lineRule="auto"/>
        <w:jc w:val="both"/>
        <w:rPr>
          <w:rFonts w:ascii="Arial" w:eastAsia="Times New Roman" w:hAnsi="Arial" w:cs="Arial"/>
          <w:i/>
          <w:color w:val="222222"/>
          <w:sz w:val="26"/>
          <w:szCs w:val="26"/>
          <w:lang w:eastAsia="es-MX"/>
        </w:rPr>
      </w:pPr>
    </w:p>
    <w:p w:rsidR="00A67FD4" w:rsidRPr="0057780F" w:rsidRDefault="00A67FD4" w:rsidP="00E67D65">
      <w:pPr>
        <w:shd w:val="clear" w:color="auto" w:fill="FFFFFF"/>
        <w:spacing w:after="0" w:line="240" w:lineRule="auto"/>
        <w:jc w:val="both"/>
        <w:rPr>
          <w:rFonts w:ascii="Arial" w:eastAsia="Times New Roman" w:hAnsi="Arial" w:cs="Arial"/>
          <w:color w:val="222222"/>
          <w:sz w:val="25"/>
          <w:szCs w:val="25"/>
          <w:lang w:eastAsia="es-MX"/>
        </w:rPr>
      </w:pPr>
      <w:r w:rsidRPr="00E67D65">
        <w:rPr>
          <w:rFonts w:ascii="Arial" w:eastAsia="Times New Roman" w:hAnsi="Arial" w:cs="Arial"/>
          <w:color w:val="222222"/>
          <w:sz w:val="25"/>
          <w:szCs w:val="25"/>
          <w:lang w:eastAsia="es-MX"/>
        </w:rPr>
        <w:t xml:space="preserve">En consecuencia de lo anterior se sugiere </w:t>
      </w:r>
      <w:r w:rsidR="005441E4">
        <w:rPr>
          <w:rFonts w:ascii="Arial" w:eastAsia="Times New Roman" w:hAnsi="Arial" w:cs="Arial"/>
          <w:color w:val="222222"/>
          <w:sz w:val="25"/>
          <w:szCs w:val="25"/>
          <w:lang w:eastAsia="es-MX"/>
        </w:rPr>
        <w:t>analizar</w:t>
      </w:r>
      <w:r w:rsidRPr="00E67D65">
        <w:rPr>
          <w:rFonts w:ascii="Arial" w:eastAsia="Times New Roman" w:hAnsi="Arial" w:cs="Arial"/>
          <w:color w:val="222222"/>
          <w:sz w:val="25"/>
          <w:szCs w:val="25"/>
          <w:lang w:eastAsia="es-MX"/>
        </w:rPr>
        <w:t xml:space="preserve"> que la vigencia a dichas funciones permanezca de dos años tal y como se encuentra </w:t>
      </w:r>
      <w:r w:rsidR="0083371A">
        <w:rPr>
          <w:rFonts w:ascii="Arial" w:eastAsia="Times New Roman" w:hAnsi="Arial" w:cs="Arial"/>
          <w:color w:val="222222"/>
          <w:sz w:val="25"/>
          <w:szCs w:val="25"/>
          <w:lang w:eastAsia="es-MX"/>
        </w:rPr>
        <w:t>actualmente</w:t>
      </w:r>
      <w:r w:rsidRPr="00E67D65">
        <w:rPr>
          <w:rFonts w:ascii="Arial" w:eastAsia="Times New Roman" w:hAnsi="Arial" w:cs="Arial"/>
          <w:color w:val="222222"/>
          <w:sz w:val="25"/>
          <w:szCs w:val="25"/>
          <w:lang w:eastAsia="es-MX"/>
        </w:rPr>
        <w:t xml:space="preserve">, ya que la aprobación de la iniciativa en dicho aspecto, implicaría </w:t>
      </w:r>
      <w:r w:rsidRPr="00A67FD4">
        <w:rPr>
          <w:rFonts w:ascii="Arial" w:eastAsia="Times New Roman" w:hAnsi="Arial" w:cs="Arial"/>
          <w:color w:val="222222"/>
          <w:sz w:val="25"/>
          <w:szCs w:val="25"/>
          <w:lang w:eastAsia="es-MX"/>
        </w:rPr>
        <w:t xml:space="preserve">remitir </w:t>
      </w:r>
      <w:r w:rsidRPr="00E67D65">
        <w:rPr>
          <w:rFonts w:ascii="Arial" w:eastAsia="Times New Roman" w:hAnsi="Arial" w:cs="Arial"/>
          <w:color w:val="222222"/>
          <w:sz w:val="25"/>
          <w:szCs w:val="25"/>
          <w:lang w:eastAsia="es-MX"/>
        </w:rPr>
        <w:t xml:space="preserve">de forma semestral a todo el personal </w:t>
      </w:r>
      <w:r w:rsidR="0083371A">
        <w:rPr>
          <w:rFonts w:ascii="Arial" w:eastAsia="Times New Roman" w:hAnsi="Arial" w:cs="Arial"/>
          <w:color w:val="222222"/>
          <w:sz w:val="25"/>
          <w:szCs w:val="25"/>
          <w:lang w:eastAsia="es-MX"/>
        </w:rPr>
        <w:t>del</w:t>
      </w:r>
      <w:r w:rsidRPr="00E67D65">
        <w:rPr>
          <w:rFonts w:ascii="Arial" w:eastAsia="Times New Roman" w:hAnsi="Arial" w:cs="Arial"/>
          <w:color w:val="222222"/>
          <w:sz w:val="25"/>
          <w:szCs w:val="25"/>
          <w:lang w:eastAsia="es-MX"/>
        </w:rPr>
        <w:t xml:space="preserve"> Centro </w:t>
      </w:r>
      <w:r w:rsidR="00E67D65" w:rsidRPr="00E67D65">
        <w:rPr>
          <w:rFonts w:ascii="Arial" w:eastAsia="Times New Roman" w:hAnsi="Arial" w:cs="Arial"/>
          <w:color w:val="222222"/>
          <w:sz w:val="25"/>
          <w:szCs w:val="25"/>
          <w:lang w:eastAsia="es-MX"/>
        </w:rPr>
        <w:t xml:space="preserve">de </w:t>
      </w:r>
      <w:r w:rsidR="00E67D65" w:rsidRPr="00E67D65">
        <w:rPr>
          <w:rFonts w:ascii="Arial" w:hAnsi="Arial" w:cs="Arial"/>
          <w:sz w:val="25"/>
          <w:szCs w:val="25"/>
        </w:rPr>
        <w:t>Comando, Control, Comunicaciones y Cómputo</w:t>
      </w:r>
      <w:r w:rsidRPr="00A67FD4">
        <w:rPr>
          <w:rFonts w:ascii="Arial" w:eastAsia="Times New Roman" w:hAnsi="Arial" w:cs="Arial"/>
          <w:color w:val="222222"/>
          <w:sz w:val="26"/>
          <w:szCs w:val="26"/>
          <w:lang w:eastAsia="es-MX"/>
        </w:rPr>
        <w:t xml:space="preserve"> </w:t>
      </w:r>
      <w:r w:rsidR="0083371A">
        <w:rPr>
          <w:rFonts w:ascii="Arial" w:eastAsia="Times New Roman" w:hAnsi="Arial" w:cs="Arial"/>
          <w:color w:val="222222"/>
          <w:sz w:val="26"/>
          <w:szCs w:val="26"/>
          <w:lang w:eastAsia="es-MX"/>
        </w:rPr>
        <w:t>(C4) de este Municipio</w:t>
      </w:r>
      <w:r w:rsidR="00E67D65">
        <w:rPr>
          <w:rFonts w:ascii="Arial" w:eastAsia="Times New Roman" w:hAnsi="Arial" w:cs="Arial"/>
          <w:color w:val="222222"/>
          <w:sz w:val="26"/>
          <w:szCs w:val="26"/>
          <w:lang w:eastAsia="es-MX"/>
        </w:rPr>
        <w:t xml:space="preserve">, lo que generaría un impacto presupuestal considerable, así como el impacto en las actividades cotidianas que </w:t>
      </w:r>
      <w:r w:rsidR="0083371A">
        <w:rPr>
          <w:rFonts w:ascii="Arial" w:eastAsia="Times New Roman" w:hAnsi="Arial" w:cs="Arial"/>
          <w:color w:val="222222"/>
          <w:sz w:val="26"/>
          <w:szCs w:val="26"/>
          <w:lang w:eastAsia="es-MX"/>
        </w:rPr>
        <w:t xml:space="preserve">se </w:t>
      </w:r>
      <w:r w:rsidR="00E67D65" w:rsidRPr="0057780F">
        <w:rPr>
          <w:rFonts w:ascii="Arial" w:eastAsia="Times New Roman" w:hAnsi="Arial" w:cs="Arial"/>
          <w:color w:val="222222"/>
          <w:sz w:val="25"/>
          <w:szCs w:val="25"/>
          <w:lang w:eastAsia="es-MX"/>
        </w:rPr>
        <w:t>generaría en los tiempos del personal y que a su vez repercuten en la operación del Centro.</w:t>
      </w:r>
    </w:p>
    <w:p w:rsidR="0057780F" w:rsidRPr="0057780F" w:rsidRDefault="0057780F" w:rsidP="00E67D65">
      <w:pPr>
        <w:shd w:val="clear" w:color="auto" w:fill="FFFFFF"/>
        <w:spacing w:after="0" w:line="240" w:lineRule="auto"/>
        <w:jc w:val="both"/>
        <w:rPr>
          <w:rFonts w:ascii="Arial" w:eastAsia="Times New Roman" w:hAnsi="Arial" w:cs="Arial"/>
          <w:color w:val="222222"/>
          <w:sz w:val="25"/>
          <w:szCs w:val="25"/>
          <w:lang w:eastAsia="es-MX"/>
        </w:rPr>
      </w:pPr>
    </w:p>
    <w:p w:rsidR="0057780F" w:rsidRPr="0057780F" w:rsidRDefault="0057780F" w:rsidP="00E67D65">
      <w:pPr>
        <w:shd w:val="clear" w:color="auto" w:fill="FFFFFF"/>
        <w:spacing w:after="0" w:line="240" w:lineRule="auto"/>
        <w:jc w:val="both"/>
        <w:rPr>
          <w:rFonts w:ascii="Arial" w:eastAsia="Times New Roman" w:hAnsi="Arial" w:cs="Arial"/>
          <w:b/>
          <w:color w:val="222222"/>
          <w:sz w:val="25"/>
          <w:szCs w:val="25"/>
          <w:lang w:eastAsia="es-MX"/>
        </w:rPr>
      </w:pPr>
      <w:r w:rsidRPr="0057780F">
        <w:rPr>
          <w:rFonts w:ascii="Arial" w:eastAsia="Times New Roman" w:hAnsi="Arial" w:cs="Arial"/>
          <w:b/>
          <w:color w:val="222222"/>
          <w:sz w:val="25"/>
          <w:szCs w:val="25"/>
          <w:lang w:eastAsia="es-MX"/>
        </w:rPr>
        <w:t>En cuanto a</w:t>
      </w:r>
      <w:r>
        <w:rPr>
          <w:rFonts w:ascii="Arial" w:eastAsia="Times New Roman" w:hAnsi="Arial" w:cs="Arial"/>
          <w:b/>
          <w:color w:val="222222"/>
          <w:sz w:val="25"/>
          <w:szCs w:val="25"/>
          <w:lang w:eastAsia="es-MX"/>
        </w:rPr>
        <w:t>l régimen transitorio:</w:t>
      </w:r>
    </w:p>
    <w:p w:rsidR="0057780F" w:rsidRPr="0057780F" w:rsidRDefault="0057780F" w:rsidP="00E67D65">
      <w:pPr>
        <w:shd w:val="clear" w:color="auto" w:fill="FFFFFF"/>
        <w:spacing w:after="0" w:line="240" w:lineRule="auto"/>
        <w:jc w:val="both"/>
        <w:rPr>
          <w:rFonts w:ascii="Arial" w:eastAsia="Times New Roman" w:hAnsi="Arial" w:cs="Arial"/>
          <w:b/>
          <w:color w:val="222222"/>
          <w:sz w:val="25"/>
          <w:szCs w:val="25"/>
          <w:lang w:eastAsia="es-MX"/>
        </w:rPr>
      </w:pPr>
    </w:p>
    <w:p w:rsidR="0057780F" w:rsidRPr="0057780F" w:rsidRDefault="0057780F" w:rsidP="0057780F">
      <w:pPr>
        <w:tabs>
          <w:tab w:val="left" w:pos="6300"/>
        </w:tabs>
        <w:spacing w:after="0" w:line="240" w:lineRule="auto"/>
        <w:jc w:val="both"/>
        <w:rPr>
          <w:rFonts w:ascii="Arial" w:hAnsi="Arial" w:cs="Arial"/>
          <w:sz w:val="25"/>
          <w:szCs w:val="25"/>
        </w:rPr>
      </w:pPr>
      <w:r w:rsidRPr="0057780F">
        <w:rPr>
          <w:rFonts w:ascii="Arial" w:hAnsi="Arial" w:cs="Arial"/>
          <w:sz w:val="25"/>
          <w:szCs w:val="25"/>
        </w:rPr>
        <w:t xml:space="preserve">Se sugiere establecer un artículo que determine el plazo para que </w:t>
      </w:r>
      <w:r>
        <w:rPr>
          <w:rFonts w:ascii="Arial" w:hAnsi="Arial" w:cs="Arial"/>
          <w:sz w:val="25"/>
          <w:szCs w:val="25"/>
        </w:rPr>
        <w:t>el Ejecutivo actualice</w:t>
      </w:r>
      <w:r w:rsidRPr="0057780F">
        <w:rPr>
          <w:rFonts w:ascii="Arial" w:hAnsi="Arial" w:cs="Arial"/>
          <w:sz w:val="25"/>
          <w:szCs w:val="25"/>
        </w:rPr>
        <w:t xml:space="preserve"> la reglamentación en la materia.</w:t>
      </w:r>
    </w:p>
    <w:p w:rsidR="0057780F" w:rsidRPr="00A67FD4" w:rsidRDefault="0057780F" w:rsidP="00E67D65">
      <w:pPr>
        <w:shd w:val="clear" w:color="auto" w:fill="FFFFFF"/>
        <w:spacing w:after="0" w:line="240" w:lineRule="auto"/>
        <w:jc w:val="both"/>
        <w:rPr>
          <w:rFonts w:ascii="Arial" w:eastAsia="Times New Roman" w:hAnsi="Arial" w:cs="Arial"/>
          <w:color w:val="222222"/>
          <w:sz w:val="25"/>
          <w:szCs w:val="25"/>
          <w:lang w:eastAsia="es-MX"/>
        </w:rPr>
      </w:pPr>
    </w:p>
    <w:p w:rsidR="00A67FD4" w:rsidRPr="0057780F" w:rsidRDefault="00A67FD4" w:rsidP="00E67D65">
      <w:pPr>
        <w:spacing w:after="0" w:line="240" w:lineRule="auto"/>
        <w:jc w:val="both"/>
        <w:rPr>
          <w:rFonts w:ascii="Arial" w:hAnsi="Arial" w:cs="Arial"/>
          <w:sz w:val="25"/>
          <w:szCs w:val="25"/>
        </w:rPr>
      </w:pPr>
    </w:p>
    <w:p w:rsidR="004879DE" w:rsidRPr="0057780F" w:rsidRDefault="004879DE" w:rsidP="00E67D65">
      <w:pPr>
        <w:spacing w:after="0" w:line="240" w:lineRule="auto"/>
        <w:jc w:val="both"/>
        <w:rPr>
          <w:rFonts w:ascii="Arial" w:hAnsi="Arial" w:cs="Arial"/>
          <w:sz w:val="25"/>
          <w:szCs w:val="25"/>
        </w:rPr>
      </w:pPr>
    </w:p>
    <w:sectPr w:rsidR="004879DE" w:rsidRPr="0057780F" w:rsidSect="005B5898">
      <w:headerReference w:type="even" r:id="rId8"/>
      <w:headerReference w:type="default" r:id="rId9"/>
      <w:footerReference w:type="default" r:id="rId10"/>
      <w:headerReference w:type="first" r:id="rId11"/>
      <w:pgSz w:w="12240" w:h="15840"/>
      <w:pgMar w:top="1417" w:right="1750" w:bottom="1417"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3B5" w:rsidRDefault="007D63B5" w:rsidP="00435D05">
      <w:pPr>
        <w:spacing w:after="0" w:line="240" w:lineRule="auto"/>
      </w:pPr>
      <w:r>
        <w:separator/>
      </w:r>
    </w:p>
  </w:endnote>
  <w:endnote w:type="continuationSeparator" w:id="0">
    <w:p w:rsidR="007D63B5" w:rsidRDefault="007D63B5"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9D0523" w:rsidRDefault="00645203" w:rsidP="00C83CB5">
    <w:pPr>
      <w:pStyle w:val="Sangra3detindependiente"/>
      <w:ind w:left="0" w:right="-143"/>
      <w:jc w:val="both"/>
      <w:rPr>
        <w:rFonts w:ascii="Arial" w:hAnsi="Arial" w:cs="Arial"/>
      </w:rPr>
    </w:pPr>
    <w:r w:rsidRPr="00485A38">
      <w:rPr>
        <w:rFonts w:ascii="Arial" w:hAnsi="Arial" w:cs="Arial"/>
      </w:rPr>
      <w:t xml:space="preserve">La presente foja forma parte del dictamen mediante el cual se envía la </w:t>
    </w:r>
    <w:r w:rsidRPr="009D0523">
      <w:rPr>
        <w:rFonts w:ascii="Arial" w:hAnsi="Arial" w:cs="Arial"/>
      </w:rPr>
      <w:t xml:space="preserve">respuesta a la </w:t>
    </w:r>
    <w:r w:rsidR="00147C04" w:rsidRPr="009D0523">
      <w:rPr>
        <w:rFonts w:ascii="Arial" w:hAnsi="Arial" w:cs="Arial"/>
      </w:rPr>
      <w:t>Iniciativa</w:t>
    </w:r>
    <w:r w:rsidR="009D0523">
      <w:rPr>
        <w:rFonts w:ascii="Arial" w:hAnsi="Arial" w:cs="Arial"/>
      </w:rPr>
      <w:t xml:space="preserve"> de reforma a</w:t>
    </w:r>
    <w:r w:rsidR="00485A38" w:rsidRPr="009D0523">
      <w:rPr>
        <w:rFonts w:ascii="Arial" w:hAnsi="Arial" w:cs="Arial"/>
      </w:rPr>
      <w:t xml:space="preserve"> </w:t>
    </w:r>
    <w:r w:rsidR="009D0523" w:rsidRPr="009D0523">
      <w:rPr>
        <w:rFonts w:ascii="Arial" w:hAnsi="Arial" w:cs="Arial"/>
        <w:bCs/>
        <w:color w:val="222222"/>
        <w:shd w:val="clear" w:color="auto" w:fill="FFFFFF"/>
      </w:rPr>
      <w:t>la fracción XV del artículo 44 y adición de un tercer y cuarto párrafos al artículo 52 a la Ley del Sistema de Seguridad Pública del Estado de Guanajuato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3B5" w:rsidRDefault="007D63B5" w:rsidP="00435D05">
      <w:pPr>
        <w:spacing w:after="0" w:line="240" w:lineRule="auto"/>
      </w:pPr>
      <w:r>
        <w:separator/>
      </w:r>
    </w:p>
  </w:footnote>
  <w:footnote w:type="continuationSeparator" w:id="0">
    <w:p w:rsidR="007D63B5" w:rsidRDefault="007D63B5"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D63B5">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667B8" w:rsidP="007667B8">
    <w:pPr>
      <w:pStyle w:val="Encabezado"/>
      <w:tabs>
        <w:tab w:val="clear" w:pos="4419"/>
        <w:tab w:val="clear" w:pos="8838"/>
      </w:tabs>
      <w:jc w:val="right"/>
    </w:pPr>
    <w:r>
      <w:rPr>
        <w:noProof/>
        <w:lang w:eastAsia="es-MX"/>
      </w:rPr>
      <w:drawing>
        <wp:inline distT="0" distB="0" distL="0" distR="0">
          <wp:extent cx="967480" cy="576195"/>
          <wp:effectExtent l="0" t="0" r="444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r w:rsidR="007D63B5">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0;margin-top:0;width:1072.9pt;height:283.6pt;z-index:-251656192;mso-position-horizontal:center;mso-position-horizontal-relative:margin;mso-position-vertical:center;mso-position-vertical-relative:margin" o:allowincell="f">
          <v:imagedata r:id="rId2" o:title="Sin títul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D63B5">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3"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5"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6"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8" w15:restartNumberingAfterBreak="0">
    <w:nsid w:val="1E914B7F"/>
    <w:multiLevelType w:val="hybridMultilevel"/>
    <w:tmpl w:val="3362894E"/>
    <w:lvl w:ilvl="0" w:tplc="6EAC47A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0"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2"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3"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4"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5"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17"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8"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9"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0"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4"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25"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28"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9" w15:restartNumberingAfterBreak="0">
    <w:nsid w:val="7F3027D5"/>
    <w:multiLevelType w:val="hybridMultilevel"/>
    <w:tmpl w:val="7A882C02"/>
    <w:lvl w:ilvl="0" w:tplc="54CA24AE">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5"/>
  </w:num>
  <w:num w:numId="2">
    <w:abstractNumId w:val="13"/>
  </w:num>
  <w:num w:numId="3">
    <w:abstractNumId w:val="26"/>
  </w:num>
  <w:num w:numId="4">
    <w:abstractNumId w:val="10"/>
  </w:num>
  <w:num w:numId="5">
    <w:abstractNumId w:val="29"/>
  </w:num>
  <w:num w:numId="6">
    <w:abstractNumId w:val="9"/>
  </w:num>
  <w:num w:numId="7">
    <w:abstractNumId w:val="0"/>
  </w:num>
  <w:num w:numId="8">
    <w:abstractNumId w:val="16"/>
  </w:num>
  <w:num w:numId="9">
    <w:abstractNumId w:val="17"/>
  </w:num>
  <w:num w:numId="10">
    <w:abstractNumId w:val="19"/>
  </w:num>
  <w:num w:numId="11">
    <w:abstractNumId w:val="15"/>
  </w:num>
  <w:num w:numId="12">
    <w:abstractNumId w:val="2"/>
  </w:num>
  <w:num w:numId="13">
    <w:abstractNumId w:val="11"/>
  </w:num>
  <w:num w:numId="14">
    <w:abstractNumId w:val="5"/>
  </w:num>
  <w:num w:numId="15">
    <w:abstractNumId w:val="14"/>
  </w:num>
  <w:num w:numId="16">
    <w:abstractNumId w:val="24"/>
  </w:num>
  <w:num w:numId="17">
    <w:abstractNumId w:val="12"/>
  </w:num>
  <w:num w:numId="18">
    <w:abstractNumId w:val="4"/>
  </w:num>
  <w:num w:numId="19">
    <w:abstractNumId w:val="27"/>
  </w:num>
  <w:num w:numId="20">
    <w:abstractNumId w:val="6"/>
  </w:num>
  <w:num w:numId="21">
    <w:abstractNumId w:val="3"/>
  </w:num>
  <w:num w:numId="22">
    <w:abstractNumId w:val="28"/>
  </w:num>
  <w:num w:numId="23">
    <w:abstractNumId w:val="23"/>
  </w:num>
  <w:num w:numId="24">
    <w:abstractNumId w:val="20"/>
  </w:num>
  <w:num w:numId="25">
    <w:abstractNumId w:val="22"/>
  </w:num>
  <w:num w:numId="26">
    <w:abstractNumId w:val="7"/>
  </w:num>
  <w:num w:numId="27">
    <w:abstractNumId w:val="18"/>
  </w:num>
  <w:num w:numId="28">
    <w:abstractNumId w:val="1"/>
  </w:num>
  <w:num w:numId="29">
    <w:abstractNumId w:val="21"/>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3497D"/>
    <w:rsid w:val="00061270"/>
    <w:rsid w:val="000629BB"/>
    <w:rsid w:val="00074CAA"/>
    <w:rsid w:val="000818A0"/>
    <w:rsid w:val="00085CFC"/>
    <w:rsid w:val="000A4116"/>
    <w:rsid w:val="000B2646"/>
    <w:rsid w:val="000B5F11"/>
    <w:rsid w:val="000C6079"/>
    <w:rsid w:val="000F0A15"/>
    <w:rsid w:val="000F2D25"/>
    <w:rsid w:val="00105613"/>
    <w:rsid w:val="00107150"/>
    <w:rsid w:val="00117A06"/>
    <w:rsid w:val="001223DC"/>
    <w:rsid w:val="00147C04"/>
    <w:rsid w:val="0016288A"/>
    <w:rsid w:val="00165F06"/>
    <w:rsid w:val="00167914"/>
    <w:rsid w:val="001735B8"/>
    <w:rsid w:val="00180F93"/>
    <w:rsid w:val="00181A71"/>
    <w:rsid w:val="00182F0E"/>
    <w:rsid w:val="001918FC"/>
    <w:rsid w:val="00192266"/>
    <w:rsid w:val="00193CBA"/>
    <w:rsid w:val="001B1843"/>
    <w:rsid w:val="001B5F6A"/>
    <w:rsid w:val="001C4293"/>
    <w:rsid w:val="0020349C"/>
    <w:rsid w:val="00206958"/>
    <w:rsid w:val="00212F54"/>
    <w:rsid w:val="00217A1E"/>
    <w:rsid w:val="002526A4"/>
    <w:rsid w:val="00256B4C"/>
    <w:rsid w:val="00286296"/>
    <w:rsid w:val="00287616"/>
    <w:rsid w:val="00291AA5"/>
    <w:rsid w:val="00297833"/>
    <w:rsid w:val="002A61DB"/>
    <w:rsid w:val="002C4D40"/>
    <w:rsid w:val="003117A4"/>
    <w:rsid w:val="00311A44"/>
    <w:rsid w:val="003209B0"/>
    <w:rsid w:val="00324A86"/>
    <w:rsid w:val="0035631B"/>
    <w:rsid w:val="0036342B"/>
    <w:rsid w:val="00367578"/>
    <w:rsid w:val="00377800"/>
    <w:rsid w:val="003843C8"/>
    <w:rsid w:val="003847CA"/>
    <w:rsid w:val="0038631C"/>
    <w:rsid w:val="003B13B2"/>
    <w:rsid w:val="003B7295"/>
    <w:rsid w:val="003C2EC2"/>
    <w:rsid w:val="003D382F"/>
    <w:rsid w:val="003D5844"/>
    <w:rsid w:val="003D6AB2"/>
    <w:rsid w:val="003E5989"/>
    <w:rsid w:val="00400756"/>
    <w:rsid w:val="00410396"/>
    <w:rsid w:val="00411843"/>
    <w:rsid w:val="0042224D"/>
    <w:rsid w:val="00431AEE"/>
    <w:rsid w:val="00434BB8"/>
    <w:rsid w:val="00435D05"/>
    <w:rsid w:val="004627D6"/>
    <w:rsid w:val="00467CD1"/>
    <w:rsid w:val="00484D6F"/>
    <w:rsid w:val="00485A38"/>
    <w:rsid w:val="004861B5"/>
    <w:rsid w:val="004879DE"/>
    <w:rsid w:val="004B0A82"/>
    <w:rsid w:val="004B155A"/>
    <w:rsid w:val="004C260F"/>
    <w:rsid w:val="004C637C"/>
    <w:rsid w:val="004D6107"/>
    <w:rsid w:val="004F04C7"/>
    <w:rsid w:val="004F1220"/>
    <w:rsid w:val="004F6B4C"/>
    <w:rsid w:val="00504F01"/>
    <w:rsid w:val="00516844"/>
    <w:rsid w:val="00530C6A"/>
    <w:rsid w:val="005322FE"/>
    <w:rsid w:val="00533548"/>
    <w:rsid w:val="005441E4"/>
    <w:rsid w:val="00550449"/>
    <w:rsid w:val="00552623"/>
    <w:rsid w:val="00574849"/>
    <w:rsid w:val="0057780F"/>
    <w:rsid w:val="00577C74"/>
    <w:rsid w:val="005A1034"/>
    <w:rsid w:val="005A1C4E"/>
    <w:rsid w:val="005A5AC5"/>
    <w:rsid w:val="005B0524"/>
    <w:rsid w:val="005B4C7A"/>
    <w:rsid w:val="005B5898"/>
    <w:rsid w:val="005E7B9F"/>
    <w:rsid w:val="0060320D"/>
    <w:rsid w:val="00630707"/>
    <w:rsid w:val="00632A06"/>
    <w:rsid w:val="00633B02"/>
    <w:rsid w:val="00645203"/>
    <w:rsid w:val="00651346"/>
    <w:rsid w:val="0065188F"/>
    <w:rsid w:val="00652586"/>
    <w:rsid w:val="00676B75"/>
    <w:rsid w:val="00683595"/>
    <w:rsid w:val="006879FF"/>
    <w:rsid w:val="006968AE"/>
    <w:rsid w:val="006E1131"/>
    <w:rsid w:val="006E21F5"/>
    <w:rsid w:val="006E4019"/>
    <w:rsid w:val="006E7C5A"/>
    <w:rsid w:val="006F111B"/>
    <w:rsid w:val="006F4D66"/>
    <w:rsid w:val="00707EBE"/>
    <w:rsid w:val="00713035"/>
    <w:rsid w:val="00715F6F"/>
    <w:rsid w:val="00733D0D"/>
    <w:rsid w:val="00743456"/>
    <w:rsid w:val="00744EC8"/>
    <w:rsid w:val="00751191"/>
    <w:rsid w:val="00756AAC"/>
    <w:rsid w:val="007667B8"/>
    <w:rsid w:val="007734FF"/>
    <w:rsid w:val="007A2D59"/>
    <w:rsid w:val="007C0B32"/>
    <w:rsid w:val="007D63B5"/>
    <w:rsid w:val="007D66E9"/>
    <w:rsid w:val="007F5AE3"/>
    <w:rsid w:val="008036DE"/>
    <w:rsid w:val="00827B81"/>
    <w:rsid w:val="0083371A"/>
    <w:rsid w:val="00835BEE"/>
    <w:rsid w:val="008513E8"/>
    <w:rsid w:val="00856DF6"/>
    <w:rsid w:val="0085791F"/>
    <w:rsid w:val="00884156"/>
    <w:rsid w:val="00892D82"/>
    <w:rsid w:val="008A67A3"/>
    <w:rsid w:val="00902C1F"/>
    <w:rsid w:val="0092676F"/>
    <w:rsid w:val="00934A8F"/>
    <w:rsid w:val="00940B35"/>
    <w:rsid w:val="00952848"/>
    <w:rsid w:val="00962C30"/>
    <w:rsid w:val="00972383"/>
    <w:rsid w:val="009763BC"/>
    <w:rsid w:val="009A4757"/>
    <w:rsid w:val="009D0523"/>
    <w:rsid w:val="009D5353"/>
    <w:rsid w:val="009E40E1"/>
    <w:rsid w:val="009F52CC"/>
    <w:rsid w:val="009F58E0"/>
    <w:rsid w:val="00A438CF"/>
    <w:rsid w:val="00A615B6"/>
    <w:rsid w:val="00A67FD4"/>
    <w:rsid w:val="00A8099D"/>
    <w:rsid w:val="00A93DC3"/>
    <w:rsid w:val="00AA60C8"/>
    <w:rsid w:val="00AB2183"/>
    <w:rsid w:val="00AC4935"/>
    <w:rsid w:val="00AE1A78"/>
    <w:rsid w:val="00AF55B2"/>
    <w:rsid w:val="00B2418C"/>
    <w:rsid w:val="00B26291"/>
    <w:rsid w:val="00B26999"/>
    <w:rsid w:val="00B274C2"/>
    <w:rsid w:val="00B45C2B"/>
    <w:rsid w:val="00B6068D"/>
    <w:rsid w:val="00B63B57"/>
    <w:rsid w:val="00B719F4"/>
    <w:rsid w:val="00B8008B"/>
    <w:rsid w:val="00B85D84"/>
    <w:rsid w:val="00B86048"/>
    <w:rsid w:val="00B971C5"/>
    <w:rsid w:val="00BA1B4B"/>
    <w:rsid w:val="00BA407A"/>
    <w:rsid w:val="00BA4540"/>
    <w:rsid w:val="00BB13C1"/>
    <w:rsid w:val="00BB202B"/>
    <w:rsid w:val="00BB7C53"/>
    <w:rsid w:val="00BE7F42"/>
    <w:rsid w:val="00C06208"/>
    <w:rsid w:val="00C14911"/>
    <w:rsid w:val="00C14A5C"/>
    <w:rsid w:val="00C27117"/>
    <w:rsid w:val="00C31910"/>
    <w:rsid w:val="00C35A12"/>
    <w:rsid w:val="00C36D53"/>
    <w:rsid w:val="00C654C6"/>
    <w:rsid w:val="00C80A1D"/>
    <w:rsid w:val="00C83CB5"/>
    <w:rsid w:val="00C91613"/>
    <w:rsid w:val="00C96F13"/>
    <w:rsid w:val="00CC063F"/>
    <w:rsid w:val="00CC0FB4"/>
    <w:rsid w:val="00CC59DB"/>
    <w:rsid w:val="00CD3B1B"/>
    <w:rsid w:val="00CE07B2"/>
    <w:rsid w:val="00CF6F96"/>
    <w:rsid w:val="00D05CDE"/>
    <w:rsid w:val="00D05D65"/>
    <w:rsid w:val="00D14192"/>
    <w:rsid w:val="00D35F1D"/>
    <w:rsid w:val="00D379EE"/>
    <w:rsid w:val="00D621E5"/>
    <w:rsid w:val="00D74366"/>
    <w:rsid w:val="00D804CE"/>
    <w:rsid w:val="00D85E9A"/>
    <w:rsid w:val="00D96C0A"/>
    <w:rsid w:val="00DA4539"/>
    <w:rsid w:val="00DD4835"/>
    <w:rsid w:val="00DD4B40"/>
    <w:rsid w:val="00DF0049"/>
    <w:rsid w:val="00DF59C0"/>
    <w:rsid w:val="00E11813"/>
    <w:rsid w:val="00E15422"/>
    <w:rsid w:val="00E16F01"/>
    <w:rsid w:val="00E263AF"/>
    <w:rsid w:val="00E3169B"/>
    <w:rsid w:val="00E316CF"/>
    <w:rsid w:val="00E40FC9"/>
    <w:rsid w:val="00E41D3A"/>
    <w:rsid w:val="00E64A79"/>
    <w:rsid w:val="00E67D65"/>
    <w:rsid w:val="00E81494"/>
    <w:rsid w:val="00E847EC"/>
    <w:rsid w:val="00EA2F7C"/>
    <w:rsid w:val="00EB5A68"/>
    <w:rsid w:val="00EB6AFA"/>
    <w:rsid w:val="00EC5382"/>
    <w:rsid w:val="00EC7463"/>
    <w:rsid w:val="00ED2BD4"/>
    <w:rsid w:val="00ED35FB"/>
    <w:rsid w:val="00ED7858"/>
    <w:rsid w:val="00ED7888"/>
    <w:rsid w:val="00EE48B6"/>
    <w:rsid w:val="00F1179D"/>
    <w:rsid w:val="00F20281"/>
    <w:rsid w:val="00F235D7"/>
    <w:rsid w:val="00F35A7B"/>
    <w:rsid w:val="00F42EA1"/>
    <w:rsid w:val="00F520DC"/>
    <w:rsid w:val="00F559BC"/>
    <w:rsid w:val="00FD080C"/>
    <w:rsid w:val="00FE346C"/>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317416719">
      <w:bodyDiv w:val="1"/>
      <w:marLeft w:val="0"/>
      <w:marRight w:val="0"/>
      <w:marTop w:val="0"/>
      <w:marBottom w:val="0"/>
      <w:divBdr>
        <w:top w:val="none" w:sz="0" w:space="0" w:color="auto"/>
        <w:left w:val="none" w:sz="0" w:space="0" w:color="auto"/>
        <w:bottom w:val="none" w:sz="0" w:space="0" w:color="auto"/>
        <w:right w:val="none" w:sz="0" w:space="0" w:color="auto"/>
      </w:divBdr>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1D10A-06D6-45AB-857A-918D88398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1257</Words>
  <Characters>6915</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Vazquez Lugo</cp:lastModifiedBy>
  <cp:revision>2</cp:revision>
  <cp:lastPrinted>2019-06-17T22:56:00Z</cp:lastPrinted>
  <dcterms:created xsi:type="dcterms:W3CDTF">2019-07-09T15:12:00Z</dcterms:created>
  <dcterms:modified xsi:type="dcterms:W3CDTF">2019-07-09T15:12:00Z</dcterms:modified>
</cp:coreProperties>
</file>