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71B146" w14:textId="77777777" w:rsidR="007035BF" w:rsidRPr="00585666" w:rsidRDefault="007035BF" w:rsidP="007035BF">
      <w:pPr>
        <w:spacing w:after="0" w:line="240" w:lineRule="auto"/>
        <w:jc w:val="both"/>
        <w:rPr>
          <w:rFonts w:ascii="Arial" w:eastAsia="Times New Roman" w:hAnsi="Arial" w:cs="Arial"/>
          <w:b/>
        </w:rPr>
      </w:pPr>
    </w:p>
    <w:p w14:paraId="2EAA7584" w14:textId="77777777" w:rsidR="007035BF" w:rsidRPr="00585666" w:rsidRDefault="007035BF" w:rsidP="007035BF">
      <w:pPr>
        <w:spacing w:after="0" w:line="240" w:lineRule="auto"/>
        <w:jc w:val="both"/>
        <w:rPr>
          <w:rFonts w:ascii="Arial" w:eastAsia="Times New Roman" w:hAnsi="Arial" w:cs="Arial"/>
          <w:b/>
        </w:rPr>
      </w:pPr>
      <w:r w:rsidRPr="00585666">
        <w:rPr>
          <w:rFonts w:ascii="Arial" w:eastAsia="Times New Roman" w:hAnsi="Arial" w:cs="Arial"/>
          <w:b/>
        </w:rPr>
        <w:t>H. AYUNTAMIENTO DE LEÓN, GUANAJUATO</w:t>
      </w:r>
    </w:p>
    <w:p w14:paraId="5C6B0D70" w14:textId="77777777" w:rsidR="007035BF" w:rsidRPr="00585666" w:rsidRDefault="007035BF" w:rsidP="007035BF">
      <w:pPr>
        <w:spacing w:after="0" w:line="240" w:lineRule="auto"/>
        <w:rPr>
          <w:rFonts w:ascii="Arial" w:eastAsia="Times New Roman" w:hAnsi="Arial" w:cs="Arial"/>
          <w:b/>
        </w:rPr>
      </w:pPr>
      <w:r w:rsidRPr="00585666">
        <w:rPr>
          <w:rFonts w:ascii="Arial" w:eastAsia="Times New Roman" w:hAnsi="Arial" w:cs="Arial"/>
          <w:b/>
        </w:rPr>
        <w:t>P R E S E N T E</w:t>
      </w:r>
    </w:p>
    <w:p w14:paraId="11EF5C47" w14:textId="77777777" w:rsidR="007035BF" w:rsidRPr="00585666" w:rsidRDefault="007035BF" w:rsidP="007035BF">
      <w:pPr>
        <w:spacing w:after="0" w:line="240" w:lineRule="auto"/>
        <w:rPr>
          <w:rFonts w:ascii="Arial" w:eastAsia="Times New Roman" w:hAnsi="Arial" w:cs="Arial"/>
          <w:b/>
        </w:rPr>
      </w:pPr>
    </w:p>
    <w:p w14:paraId="26B3DA6C" w14:textId="03F5FA6A" w:rsidR="007035BF" w:rsidRPr="00585666" w:rsidRDefault="007035BF" w:rsidP="007035BF">
      <w:pPr>
        <w:spacing w:after="0" w:line="240" w:lineRule="auto"/>
        <w:jc w:val="both"/>
        <w:rPr>
          <w:rFonts w:ascii="Arial" w:hAnsi="Arial" w:cs="Arial"/>
        </w:rPr>
      </w:pPr>
      <w:r w:rsidRPr="00585666">
        <w:rPr>
          <w:rFonts w:ascii="Arial" w:hAnsi="Arial" w:cs="Arial"/>
        </w:rPr>
        <w:t xml:space="preserve">Los suscritos integrantes de las </w:t>
      </w:r>
      <w:r w:rsidRPr="00585666">
        <w:rPr>
          <w:rFonts w:ascii="Arial" w:hAnsi="Arial" w:cs="Arial"/>
          <w:b/>
        </w:rPr>
        <w:t xml:space="preserve">Comisiones Unidas de </w:t>
      </w:r>
      <w:r w:rsidR="00276D8F" w:rsidRPr="00585666">
        <w:rPr>
          <w:rFonts w:ascii="Arial" w:hAnsi="Arial" w:cs="Arial"/>
          <w:b/>
        </w:rPr>
        <w:t xml:space="preserve"> Contraloría y Combate a la Corrupción, así como</w:t>
      </w:r>
      <w:r w:rsidRPr="00585666">
        <w:rPr>
          <w:rFonts w:ascii="Arial" w:hAnsi="Arial" w:cs="Arial"/>
          <w:b/>
        </w:rPr>
        <w:t xml:space="preserve"> la de Gobierno, Seguridad Pública y Tránsito, </w:t>
      </w:r>
      <w:r w:rsidRPr="00585666">
        <w:rPr>
          <w:rFonts w:ascii="Arial" w:hAnsi="Arial" w:cs="Arial"/>
        </w:rPr>
        <w:t xml:space="preserve">con fundamento en los artículos 81 de la Ley Orgánica Municipal para el Estado de Guanajuato; 50, 66, 79 y 80 del Reglamento Interior del H. Ayuntamiento de León, Guanajuato, sometemos a consideración de este Cuerpo Edilicio, la propuesta de acuerdo que se formula al final del presente dictamen, con base en las siguientes: </w:t>
      </w:r>
    </w:p>
    <w:p w14:paraId="5CCF37C6" w14:textId="77777777" w:rsidR="007035BF" w:rsidRPr="00585666" w:rsidRDefault="007035BF" w:rsidP="007035BF">
      <w:pPr>
        <w:spacing w:after="0" w:line="240" w:lineRule="auto"/>
        <w:rPr>
          <w:rFonts w:ascii="Arial" w:hAnsi="Arial" w:cs="Arial"/>
        </w:rPr>
      </w:pPr>
    </w:p>
    <w:p w14:paraId="149B9F44" w14:textId="77777777" w:rsidR="007035BF" w:rsidRPr="00585666" w:rsidRDefault="007035BF" w:rsidP="007035BF">
      <w:pPr>
        <w:spacing w:after="0" w:line="240" w:lineRule="auto"/>
        <w:rPr>
          <w:rFonts w:ascii="Arial" w:hAnsi="Arial" w:cs="Arial"/>
        </w:rPr>
      </w:pPr>
      <w:r w:rsidRPr="00585666">
        <w:rPr>
          <w:rFonts w:ascii="Arial" w:hAnsi="Arial" w:cs="Arial"/>
        </w:rPr>
        <w:t xml:space="preserve"> </w:t>
      </w:r>
    </w:p>
    <w:p w14:paraId="3139C29B" w14:textId="77777777" w:rsidR="007035BF" w:rsidRPr="00585666" w:rsidRDefault="007035BF" w:rsidP="007035BF">
      <w:pPr>
        <w:pStyle w:val="Ttulo1"/>
        <w:spacing w:line="240" w:lineRule="auto"/>
        <w:ind w:right="96"/>
        <w:rPr>
          <w:color w:val="auto"/>
          <w:sz w:val="22"/>
        </w:rPr>
      </w:pPr>
      <w:r w:rsidRPr="00585666">
        <w:rPr>
          <w:color w:val="auto"/>
          <w:sz w:val="22"/>
        </w:rPr>
        <w:t xml:space="preserve">C O N S I D E R A C I O N E S </w:t>
      </w:r>
    </w:p>
    <w:p w14:paraId="0FEB720E" w14:textId="77777777" w:rsidR="007035BF" w:rsidRPr="00585666" w:rsidRDefault="007035BF" w:rsidP="007035BF">
      <w:pPr>
        <w:spacing w:after="0" w:line="240" w:lineRule="auto"/>
        <w:rPr>
          <w:rFonts w:ascii="Arial" w:hAnsi="Arial" w:cs="Arial"/>
        </w:rPr>
      </w:pPr>
      <w:r w:rsidRPr="00585666">
        <w:rPr>
          <w:rFonts w:ascii="Arial" w:hAnsi="Arial" w:cs="Arial"/>
        </w:rPr>
        <w:t xml:space="preserve"> </w:t>
      </w:r>
    </w:p>
    <w:p w14:paraId="568329F9" w14:textId="153C9299" w:rsidR="007035BF" w:rsidRPr="00585666" w:rsidRDefault="007035BF" w:rsidP="007035BF">
      <w:pPr>
        <w:spacing w:after="0" w:line="240" w:lineRule="auto"/>
        <w:ind w:right="68"/>
        <w:jc w:val="both"/>
        <w:rPr>
          <w:rFonts w:ascii="Arial" w:hAnsi="Arial" w:cs="Arial"/>
        </w:rPr>
      </w:pPr>
      <w:r w:rsidRPr="00585666">
        <w:rPr>
          <w:rFonts w:ascii="Arial" w:hAnsi="Arial" w:cs="Arial"/>
          <w:b/>
        </w:rPr>
        <w:t xml:space="preserve">I. </w:t>
      </w:r>
      <w:r w:rsidRPr="00585666">
        <w:rPr>
          <w:rFonts w:ascii="Arial" w:hAnsi="Arial" w:cs="Arial"/>
        </w:rPr>
        <w:t xml:space="preserve">En sesión ordinaria del H. Ayuntamiento de León, Guanajuato, celebrada en fecha 11 de febrero de 2021, se dio cuenta de la propuesta de iniciativa presentada por la Regidora María Olimpia Zapata Padilla, consistente en adiciones a la Ley de Responsabilidades Administrativas para el Estado de Guanajuato, misma que se turnó para su estudio a las presentes comisiones. </w:t>
      </w:r>
    </w:p>
    <w:p w14:paraId="00EE19B7" w14:textId="77777777" w:rsidR="007035BF" w:rsidRPr="00585666" w:rsidRDefault="007035BF" w:rsidP="007035BF">
      <w:pPr>
        <w:spacing w:after="0" w:line="240" w:lineRule="auto"/>
        <w:ind w:left="708"/>
        <w:jc w:val="both"/>
        <w:rPr>
          <w:rFonts w:ascii="Arial" w:hAnsi="Arial" w:cs="Arial"/>
        </w:rPr>
      </w:pPr>
      <w:r w:rsidRPr="00585666">
        <w:rPr>
          <w:rFonts w:ascii="Arial" w:hAnsi="Arial" w:cs="Arial"/>
        </w:rPr>
        <w:t xml:space="preserve"> </w:t>
      </w:r>
    </w:p>
    <w:p w14:paraId="35874E8F" w14:textId="09988593" w:rsidR="00851B6D" w:rsidRPr="00585666" w:rsidRDefault="007035BF" w:rsidP="00851B6D">
      <w:pPr>
        <w:pStyle w:val="Sinespaciado"/>
        <w:rPr>
          <w:sz w:val="22"/>
          <w:lang w:eastAsia="es-ES"/>
        </w:rPr>
      </w:pPr>
      <w:r w:rsidRPr="00585666">
        <w:rPr>
          <w:b/>
          <w:color w:val="auto"/>
          <w:sz w:val="22"/>
        </w:rPr>
        <w:t xml:space="preserve">II. </w:t>
      </w:r>
      <w:r w:rsidRPr="00585666">
        <w:rPr>
          <w:color w:val="auto"/>
          <w:sz w:val="22"/>
        </w:rPr>
        <w:t>Dentro de la exposición de motivos presentada se manifestó que la propuesta busca que se considere a las conductas de hostigamiento y acoso sexual como una falta administrativa de carácter grave</w:t>
      </w:r>
      <w:r w:rsidR="00851B6D" w:rsidRPr="00585666">
        <w:rPr>
          <w:sz w:val="22"/>
          <w:lang w:eastAsia="es-ES"/>
        </w:rPr>
        <w:t>, ya que es de vital importancia establecer iniciativas que restablezcan la seguridad, el trato laboral digno y respetuoso, con base en una cultura organizacional que dé pautas claras de detección y actuación ante situaciones de violencia de cualquier tipo.</w:t>
      </w:r>
    </w:p>
    <w:p w14:paraId="17F92A5A" w14:textId="77777777" w:rsidR="007035BF" w:rsidRPr="00585666" w:rsidRDefault="007035BF" w:rsidP="007035BF">
      <w:pPr>
        <w:pStyle w:val="Sinespaciado"/>
        <w:ind w:left="0" w:firstLine="0"/>
        <w:rPr>
          <w:color w:val="auto"/>
          <w:sz w:val="22"/>
        </w:rPr>
      </w:pPr>
    </w:p>
    <w:p w14:paraId="4CDA7FBC" w14:textId="68DE3F09" w:rsidR="007035BF" w:rsidRPr="00585666" w:rsidRDefault="007035BF" w:rsidP="007035BF">
      <w:pPr>
        <w:pStyle w:val="Sinespaciado"/>
        <w:rPr>
          <w:color w:val="auto"/>
          <w:sz w:val="22"/>
          <w:lang w:eastAsia="es-ES"/>
        </w:rPr>
      </w:pPr>
      <w:r w:rsidRPr="00585666">
        <w:rPr>
          <w:b/>
          <w:color w:val="auto"/>
          <w:sz w:val="22"/>
        </w:rPr>
        <w:t xml:space="preserve">III. </w:t>
      </w:r>
      <w:r w:rsidRPr="00585666">
        <w:rPr>
          <w:color w:val="auto"/>
          <w:sz w:val="22"/>
        </w:rPr>
        <w:t xml:space="preserve">En atención a lo anterior, se realizó una mesa de trabajo en la cual se </w:t>
      </w:r>
      <w:r w:rsidR="00276D8F" w:rsidRPr="00585666">
        <w:rPr>
          <w:color w:val="auto"/>
          <w:sz w:val="22"/>
        </w:rPr>
        <w:t>coincidió</w:t>
      </w:r>
      <w:r w:rsidRPr="00585666">
        <w:rPr>
          <w:color w:val="auto"/>
          <w:sz w:val="22"/>
        </w:rPr>
        <w:t xml:space="preserve"> en la necesidad de proponer medidas para</w:t>
      </w:r>
      <w:r w:rsidRPr="00585666">
        <w:rPr>
          <w:color w:val="auto"/>
          <w:sz w:val="22"/>
          <w:lang w:eastAsia="es-ES"/>
        </w:rPr>
        <w:t xml:space="preserve"> prevenir y contrarrestar </w:t>
      </w:r>
      <w:r w:rsidR="00276D8F" w:rsidRPr="00585666">
        <w:rPr>
          <w:color w:val="auto"/>
          <w:sz w:val="22"/>
          <w:lang w:eastAsia="es-ES"/>
        </w:rPr>
        <w:t>conductas que imposibiliten el acceso a todas las mujeres a una vida libre de violencia.</w:t>
      </w:r>
    </w:p>
    <w:p w14:paraId="75631C3F" w14:textId="77777777" w:rsidR="007035BF" w:rsidRPr="00585666" w:rsidRDefault="007035BF" w:rsidP="007035BF">
      <w:pPr>
        <w:pStyle w:val="Sinespaciado"/>
        <w:rPr>
          <w:color w:val="auto"/>
          <w:sz w:val="22"/>
          <w:lang w:eastAsia="es-ES"/>
        </w:rPr>
      </w:pPr>
    </w:p>
    <w:p w14:paraId="763F8BA1" w14:textId="3B490343" w:rsidR="007035BF" w:rsidRPr="00585666" w:rsidRDefault="007035BF" w:rsidP="007035BF">
      <w:pPr>
        <w:spacing w:after="0" w:line="240" w:lineRule="auto"/>
        <w:ind w:left="-5" w:right="68"/>
        <w:jc w:val="both"/>
        <w:rPr>
          <w:rFonts w:ascii="Arial" w:hAnsi="Arial" w:cs="Arial"/>
          <w:lang w:val="es-ES"/>
        </w:rPr>
      </w:pPr>
      <w:r w:rsidRPr="00585666">
        <w:rPr>
          <w:rFonts w:ascii="Arial" w:hAnsi="Arial" w:cs="Arial"/>
          <w:b/>
          <w:lang w:val="es-ES"/>
        </w:rPr>
        <w:t>IV.</w:t>
      </w:r>
      <w:r w:rsidRPr="00585666">
        <w:rPr>
          <w:rFonts w:ascii="Arial" w:hAnsi="Arial" w:cs="Arial"/>
          <w:lang w:val="es-ES"/>
        </w:rPr>
        <w:t xml:space="preserve"> </w:t>
      </w:r>
      <w:r w:rsidRPr="00585666">
        <w:rPr>
          <w:rFonts w:ascii="Arial" w:eastAsia="Times New Roman" w:hAnsi="Arial" w:cs="Arial"/>
        </w:rPr>
        <w:t>En ese orden de ideas, quienes dictaminamos coincidimos en la relevancia de las</w:t>
      </w:r>
      <w:r w:rsidR="00851B6D" w:rsidRPr="00585666">
        <w:rPr>
          <w:rFonts w:ascii="Arial" w:eastAsia="Times New Roman" w:hAnsi="Arial" w:cs="Arial"/>
        </w:rPr>
        <w:t xml:space="preserve"> ideas </w:t>
      </w:r>
      <w:r w:rsidRPr="00585666">
        <w:rPr>
          <w:rFonts w:ascii="Arial" w:eastAsia="Times New Roman" w:hAnsi="Arial" w:cs="Arial"/>
        </w:rPr>
        <w:t xml:space="preserve">  planteadas en </w:t>
      </w:r>
      <w:r w:rsidR="00276D8F" w:rsidRPr="00585666">
        <w:rPr>
          <w:rFonts w:ascii="Arial" w:eastAsia="Times New Roman" w:hAnsi="Arial" w:cs="Arial"/>
        </w:rPr>
        <w:t>la propuesta</w:t>
      </w:r>
      <w:r w:rsidRPr="00585666">
        <w:rPr>
          <w:rFonts w:ascii="Arial" w:eastAsia="Times New Roman" w:hAnsi="Arial" w:cs="Arial"/>
        </w:rPr>
        <w:t xml:space="preserve"> de iniciativa en estudio, y después de un análisis detallado concordamos en la necesidad de realizar adecuaciones al texto normativo planteado, mismas que contribuirán a fortalecer la motivación y el propósito de</w:t>
      </w:r>
      <w:r w:rsidR="00276D8F" w:rsidRPr="00585666">
        <w:rPr>
          <w:rFonts w:ascii="Arial" w:eastAsia="Times New Roman" w:hAnsi="Arial" w:cs="Arial"/>
        </w:rPr>
        <w:t xml:space="preserve"> </w:t>
      </w:r>
      <w:r w:rsidRPr="00585666">
        <w:rPr>
          <w:rFonts w:ascii="Arial" w:eastAsia="Times New Roman" w:hAnsi="Arial" w:cs="Arial"/>
        </w:rPr>
        <w:t>l</w:t>
      </w:r>
      <w:r w:rsidR="00276D8F" w:rsidRPr="00585666">
        <w:rPr>
          <w:rFonts w:ascii="Arial" w:eastAsia="Times New Roman" w:hAnsi="Arial" w:cs="Arial"/>
        </w:rPr>
        <w:t>a</w:t>
      </w:r>
      <w:r w:rsidRPr="00585666">
        <w:rPr>
          <w:rFonts w:ascii="Arial" w:eastAsia="Times New Roman" w:hAnsi="Arial" w:cs="Arial"/>
        </w:rPr>
        <w:t xml:space="preserve"> iniciante.</w:t>
      </w:r>
    </w:p>
    <w:p w14:paraId="7EDC8B4E" w14:textId="77777777" w:rsidR="007035BF" w:rsidRPr="00585666" w:rsidRDefault="007035BF" w:rsidP="007035BF">
      <w:pPr>
        <w:pStyle w:val="Sinespaciado"/>
        <w:rPr>
          <w:color w:val="auto"/>
          <w:sz w:val="22"/>
          <w:lang w:eastAsia="es-ES"/>
        </w:rPr>
      </w:pPr>
    </w:p>
    <w:p w14:paraId="57F89E98" w14:textId="59D447C7" w:rsidR="00E3293B" w:rsidRPr="00585666" w:rsidRDefault="007035BF" w:rsidP="00E3293B">
      <w:pPr>
        <w:pStyle w:val="Sinespaciado"/>
        <w:rPr>
          <w:color w:val="auto"/>
          <w:sz w:val="22"/>
          <w:lang w:eastAsia="es-ES"/>
        </w:rPr>
      </w:pPr>
      <w:r w:rsidRPr="00585666">
        <w:rPr>
          <w:b/>
          <w:bCs/>
          <w:color w:val="auto"/>
          <w:sz w:val="22"/>
          <w:lang w:eastAsia="es-ES"/>
        </w:rPr>
        <w:t xml:space="preserve">V. </w:t>
      </w:r>
      <w:r w:rsidR="00537AB2" w:rsidRPr="00585666">
        <w:rPr>
          <w:color w:val="auto"/>
          <w:sz w:val="22"/>
          <w:lang w:eastAsia="es-ES"/>
        </w:rPr>
        <w:t>En relación con</w:t>
      </w:r>
      <w:r w:rsidRPr="00585666">
        <w:rPr>
          <w:color w:val="auto"/>
          <w:sz w:val="22"/>
          <w:lang w:eastAsia="es-ES"/>
        </w:rPr>
        <w:t xml:space="preserve"> los ajustes </w:t>
      </w:r>
      <w:r w:rsidR="00537AB2" w:rsidRPr="00585666">
        <w:rPr>
          <w:color w:val="auto"/>
          <w:sz w:val="22"/>
          <w:lang w:eastAsia="es-ES"/>
        </w:rPr>
        <w:t>a</w:t>
      </w:r>
      <w:r w:rsidRPr="00585666">
        <w:rPr>
          <w:color w:val="auto"/>
          <w:sz w:val="22"/>
          <w:lang w:eastAsia="es-ES"/>
        </w:rPr>
        <w:t xml:space="preserve"> la propuesta de iniciativa, se</w:t>
      </w:r>
      <w:r w:rsidR="00133456" w:rsidRPr="00585666">
        <w:rPr>
          <w:color w:val="auto"/>
          <w:sz w:val="22"/>
          <w:lang w:eastAsia="es-ES"/>
        </w:rPr>
        <w:t xml:space="preserve"> acordó </w:t>
      </w:r>
      <w:r w:rsidR="00E3293B" w:rsidRPr="00585666">
        <w:rPr>
          <w:color w:val="auto"/>
          <w:sz w:val="22"/>
          <w:lang w:eastAsia="es-ES"/>
        </w:rPr>
        <w:t>adicionar una fracción XX Bis al artículo 3, debido a que resulta idóneo incorporar al glosario el concepto de perspectiva de género, toda vez que la importancia de su aplicación radica en las posibilidades que ofrece para comprender cómo se produce la discriminación de las mujeres y las vías para transformarla.</w:t>
      </w:r>
    </w:p>
    <w:p w14:paraId="77E912AB" w14:textId="77777777" w:rsidR="00E3293B" w:rsidRPr="00585666" w:rsidRDefault="00E3293B" w:rsidP="00E3293B">
      <w:pPr>
        <w:pStyle w:val="Sinespaciado"/>
        <w:rPr>
          <w:color w:val="auto"/>
          <w:sz w:val="22"/>
          <w:lang w:eastAsia="es-ES"/>
        </w:rPr>
      </w:pPr>
    </w:p>
    <w:p w14:paraId="3FD28631" w14:textId="761A9F8B" w:rsidR="00E3293B" w:rsidRPr="00585666" w:rsidRDefault="007035BF" w:rsidP="00E3293B">
      <w:pPr>
        <w:pStyle w:val="Sinespaciado"/>
        <w:ind w:left="0" w:firstLine="0"/>
        <w:rPr>
          <w:strike/>
          <w:color w:val="auto"/>
          <w:sz w:val="22"/>
          <w:lang w:eastAsia="es-ES"/>
        </w:rPr>
      </w:pPr>
      <w:r w:rsidRPr="00585666">
        <w:rPr>
          <w:color w:val="auto"/>
          <w:sz w:val="22"/>
          <w:lang w:eastAsia="es-ES"/>
        </w:rPr>
        <w:t xml:space="preserve">De igual manera, </w:t>
      </w:r>
      <w:r w:rsidR="00E3293B" w:rsidRPr="00585666">
        <w:rPr>
          <w:color w:val="auto"/>
          <w:sz w:val="22"/>
          <w:lang w:eastAsia="es-ES"/>
        </w:rPr>
        <w:t>modificar la redacción de la propuesta para adicionar la fracción XI al artículo 7, quedando establecida como promover, respetar, proteger y garantizar el acceso a todas las mujeres a una vida libre de violencia, aplicando en todo momento el enfoque de perspectiva de género</w:t>
      </w:r>
      <w:r w:rsidR="00E3293B" w:rsidRPr="00585666">
        <w:rPr>
          <w:i/>
          <w:iCs/>
          <w:color w:val="auto"/>
          <w:sz w:val="22"/>
          <w:lang w:eastAsia="es-ES"/>
        </w:rPr>
        <w:t xml:space="preserve">, </w:t>
      </w:r>
      <w:r w:rsidR="00E3293B" w:rsidRPr="00585666">
        <w:rPr>
          <w:color w:val="auto"/>
          <w:sz w:val="22"/>
          <w:lang w:eastAsia="es-ES"/>
        </w:rPr>
        <w:t>con la intención  de que al asentarse la redacción de manera positiva y con claridad, los servidores públicos puedan  ejecutar en todas sus actuaciones el principio de perspectiva de género.</w:t>
      </w:r>
      <w:r w:rsidR="00E3293B" w:rsidRPr="00585666">
        <w:rPr>
          <w:i/>
          <w:iCs/>
          <w:color w:val="auto"/>
          <w:sz w:val="22"/>
          <w:lang w:eastAsia="es-ES"/>
        </w:rPr>
        <w:t xml:space="preserve"> </w:t>
      </w:r>
    </w:p>
    <w:p w14:paraId="0A72EB08" w14:textId="77777777" w:rsidR="00E3293B" w:rsidRPr="00585666" w:rsidRDefault="00E3293B" w:rsidP="00E3293B">
      <w:pPr>
        <w:pStyle w:val="Sinespaciado"/>
        <w:rPr>
          <w:color w:val="auto"/>
          <w:sz w:val="22"/>
          <w:lang w:eastAsia="es-ES"/>
        </w:rPr>
      </w:pPr>
      <w:r w:rsidRPr="00585666">
        <w:rPr>
          <w:color w:val="auto"/>
          <w:sz w:val="22"/>
          <w:lang w:eastAsia="es-ES"/>
        </w:rPr>
        <w:t xml:space="preserve"> </w:t>
      </w:r>
    </w:p>
    <w:p w14:paraId="4D14FE58" w14:textId="75AF5497" w:rsidR="004F3F08" w:rsidRPr="00585666" w:rsidRDefault="004F3F08" w:rsidP="004F3F08">
      <w:pPr>
        <w:pStyle w:val="Sinespaciado"/>
        <w:rPr>
          <w:color w:val="auto"/>
          <w:sz w:val="22"/>
          <w:lang w:eastAsia="es-ES"/>
        </w:rPr>
      </w:pPr>
    </w:p>
    <w:p w14:paraId="7A4B4047" w14:textId="16D4F46A" w:rsidR="004F3F08" w:rsidRPr="00585666" w:rsidRDefault="004F3F08" w:rsidP="004F3F08">
      <w:pPr>
        <w:pStyle w:val="Sinespaciado"/>
        <w:rPr>
          <w:color w:val="auto"/>
          <w:sz w:val="22"/>
          <w:lang w:eastAsia="es-ES"/>
        </w:rPr>
      </w:pPr>
      <w:r w:rsidRPr="00585666">
        <w:rPr>
          <w:color w:val="auto"/>
          <w:sz w:val="22"/>
          <w:lang w:eastAsia="es-ES"/>
        </w:rPr>
        <w:lastRenderedPageBreak/>
        <w:t>En ese mismo orden de ideas</w:t>
      </w:r>
      <w:r w:rsidR="00293DDA" w:rsidRPr="00585666">
        <w:rPr>
          <w:color w:val="auto"/>
          <w:sz w:val="22"/>
          <w:lang w:eastAsia="es-ES"/>
        </w:rPr>
        <w:t>,</w:t>
      </w:r>
      <w:r w:rsidRPr="00585666">
        <w:rPr>
          <w:color w:val="auto"/>
          <w:sz w:val="22"/>
          <w:lang w:eastAsia="es-ES"/>
        </w:rPr>
        <w:t xml:space="preserve"> es que se consideró pertinente </w:t>
      </w:r>
      <w:r w:rsidR="00241AA4" w:rsidRPr="00585666">
        <w:rPr>
          <w:color w:val="auto"/>
          <w:sz w:val="22"/>
          <w:lang w:eastAsia="es-ES"/>
        </w:rPr>
        <w:t>reformar</w:t>
      </w:r>
      <w:r w:rsidRPr="00585666">
        <w:rPr>
          <w:color w:val="auto"/>
          <w:sz w:val="22"/>
          <w:lang w:eastAsia="es-ES"/>
        </w:rPr>
        <w:t xml:space="preserve"> el segundo párrafo del artículo 15 para que</w:t>
      </w:r>
      <w:r w:rsidR="00393DD7">
        <w:rPr>
          <w:color w:val="auto"/>
          <w:sz w:val="22"/>
          <w:lang w:eastAsia="es-ES"/>
        </w:rPr>
        <w:t>,</w:t>
      </w:r>
      <w:r w:rsidRPr="00585666">
        <w:rPr>
          <w:color w:val="auto"/>
          <w:sz w:val="22"/>
          <w:lang w:eastAsia="es-ES"/>
        </w:rPr>
        <w:t xml:space="preserve"> en la implementación </w:t>
      </w:r>
      <w:r w:rsidR="00293DDA" w:rsidRPr="00585666">
        <w:rPr>
          <w:color w:val="auto"/>
          <w:sz w:val="22"/>
          <w:lang w:eastAsia="es-ES"/>
        </w:rPr>
        <w:t>de</w:t>
      </w:r>
      <w:r w:rsidR="0077427C" w:rsidRPr="00585666">
        <w:rPr>
          <w:color w:val="auto"/>
          <w:sz w:val="22"/>
          <w:lang w:eastAsia="es-ES"/>
        </w:rPr>
        <w:t xml:space="preserve"> las acciones referidas en el primer párrafo</w:t>
      </w:r>
      <w:r w:rsidR="00393DD7">
        <w:rPr>
          <w:color w:val="auto"/>
          <w:sz w:val="22"/>
          <w:lang w:eastAsia="es-ES"/>
        </w:rPr>
        <w:t>,</w:t>
      </w:r>
      <w:r w:rsidR="0077427C" w:rsidRPr="00585666">
        <w:rPr>
          <w:color w:val="auto"/>
          <w:sz w:val="22"/>
          <w:lang w:eastAsia="es-ES"/>
        </w:rPr>
        <w:t xml:space="preserve"> los órganos internos de control (los cuale</w:t>
      </w:r>
      <w:r w:rsidR="000309B3" w:rsidRPr="00585666">
        <w:rPr>
          <w:color w:val="auto"/>
          <w:sz w:val="22"/>
          <w:lang w:eastAsia="es-ES"/>
        </w:rPr>
        <w:t>s en el glosario</w:t>
      </w:r>
      <w:r w:rsidR="00293126" w:rsidRPr="00585666">
        <w:rPr>
          <w:color w:val="auto"/>
          <w:sz w:val="22"/>
          <w:lang w:eastAsia="es-ES"/>
        </w:rPr>
        <w:t xml:space="preserve"> del artículo 3 de dicha Ley</w:t>
      </w:r>
      <w:r w:rsidR="000309B3" w:rsidRPr="00585666">
        <w:rPr>
          <w:color w:val="auto"/>
          <w:sz w:val="22"/>
          <w:lang w:eastAsia="es-ES"/>
        </w:rPr>
        <w:t xml:space="preserve"> se especifica </w:t>
      </w:r>
      <w:r w:rsidR="00293126" w:rsidRPr="00585666">
        <w:rPr>
          <w:color w:val="auto"/>
          <w:sz w:val="22"/>
          <w:lang w:eastAsia="es-ES"/>
        </w:rPr>
        <w:t>cuáles son los que se contemplan)</w:t>
      </w:r>
      <w:r w:rsidRPr="00585666">
        <w:rPr>
          <w:color w:val="auto"/>
          <w:sz w:val="22"/>
          <w:lang w:eastAsia="es-ES"/>
        </w:rPr>
        <w:t xml:space="preserve"> </w:t>
      </w:r>
      <w:r w:rsidR="00393DD7">
        <w:rPr>
          <w:color w:val="auto"/>
          <w:sz w:val="22"/>
          <w:lang w:eastAsia="es-ES"/>
        </w:rPr>
        <w:t>atiendan</w:t>
      </w:r>
      <w:r w:rsidR="003F6610" w:rsidRPr="00585666">
        <w:rPr>
          <w:color w:val="auto"/>
          <w:sz w:val="22"/>
          <w:lang w:eastAsia="es-ES"/>
        </w:rPr>
        <w:t xml:space="preserve"> los lineamientos generales que emita la Secretaría y, en su caso, considerar el enfoque de perspectiva de género para prevenir, atender y erradicar la violencia que se genere en este ámbito.</w:t>
      </w:r>
    </w:p>
    <w:p w14:paraId="482B2124" w14:textId="5C0E5D60" w:rsidR="004F3F08" w:rsidRPr="00585666" w:rsidRDefault="004F3F08" w:rsidP="004F3F08">
      <w:pPr>
        <w:pStyle w:val="Sinespaciado"/>
        <w:rPr>
          <w:color w:val="auto"/>
          <w:sz w:val="22"/>
          <w:lang w:eastAsia="es-ES"/>
        </w:rPr>
      </w:pPr>
    </w:p>
    <w:p w14:paraId="2E210F4E" w14:textId="69E92EAC" w:rsidR="004F3F08" w:rsidRPr="00585666" w:rsidRDefault="004F3F08" w:rsidP="004F3F08">
      <w:pPr>
        <w:pStyle w:val="Sinespaciado"/>
        <w:rPr>
          <w:color w:val="auto"/>
          <w:sz w:val="22"/>
          <w:lang w:eastAsia="es-ES"/>
        </w:rPr>
      </w:pPr>
      <w:r w:rsidRPr="00585666">
        <w:rPr>
          <w:color w:val="auto"/>
          <w:sz w:val="22"/>
          <w:lang w:eastAsia="es-ES"/>
        </w:rPr>
        <w:t>Igualmente</w:t>
      </w:r>
      <w:r w:rsidR="00406F09" w:rsidRPr="00585666">
        <w:rPr>
          <w:color w:val="auto"/>
          <w:sz w:val="22"/>
          <w:lang w:eastAsia="es-ES"/>
        </w:rPr>
        <w:t>,</w:t>
      </w:r>
      <w:r w:rsidRPr="00585666">
        <w:rPr>
          <w:color w:val="auto"/>
          <w:sz w:val="22"/>
          <w:lang w:eastAsia="es-ES"/>
        </w:rPr>
        <w:t xml:space="preserve"> se acordó adicionar un tercer párrafo al artículo 64, estableciendo que</w:t>
      </w:r>
      <w:r w:rsidR="009812F5" w:rsidRPr="00585666">
        <w:rPr>
          <w:color w:val="auto"/>
          <w:sz w:val="22"/>
          <w:lang w:eastAsia="es-ES"/>
        </w:rPr>
        <w:t xml:space="preserve"> los entes públicos deban de activar y aplicar los mecanismos e  instrumentos con enfoque de perspectiva de género en la investigación, sustanciación y resolución de faltas administrativas.</w:t>
      </w:r>
    </w:p>
    <w:p w14:paraId="6CCC15C7" w14:textId="6C6C5359" w:rsidR="003F7201" w:rsidRPr="00585666" w:rsidRDefault="003F7201" w:rsidP="004F3F08">
      <w:pPr>
        <w:pStyle w:val="Sinespaciado"/>
        <w:rPr>
          <w:color w:val="auto"/>
          <w:sz w:val="22"/>
          <w:lang w:eastAsia="es-ES"/>
        </w:rPr>
      </w:pPr>
    </w:p>
    <w:p w14:paraId="0555B4BF" w14:textId="054C8573" w:rsidR="007035BF" w:rsidRPr="00585666" w:rsidRDefault="00276D8F" w:rsidP="003F7201">
      <w:pPr>
        <w:pStyle w:val="Sinespaciado"/>
        <w:rPr>
          <w:color w:val="auto"/>
          <w:sz w:val="22"/>
          <w:lang w:eastAsia="es-ES"/>
        </w:rPr>
      </w:pPr>
      <w:r w:rsidRPr="00585666">
        <w:rPr>
          <w:color w:val="auto"/>
          <w:sz w:val="22"/>
          <w:lang w:eastAsia="es-ES"/>
        </w:rPr>
        <w:t>Finalmente</w:t>
      </w:r>
      <w:r w:rsidR="00537AB2" w:rsidRPr="00585666">
        <w:rPr>
          <w:color w:val="auto"/>
          <w:sz w:val="22"/>
          <w:lang w:eastAsia="es-ES"/>
        </w:rPr>
        <w:t xml:space="preserve"> en cuanto a </w:t>
      </w:r>
      <w:r w:rsidR="003F7201" w:rsidRPr="00585666">
        <w:rPr>
          <w:color w:val="auto"/>
          <w:sz w:val="22"/>
          <w:lang w:eastAsia="es-ES"/>
        </w:rPr>
        <w:t>la adición d</w:t>
      </w:r>
      <w:r w:rsidRPr="00585666">
        <w:rPr>
          <w:color w:val="auto"/>
          <w:sz w:val="22"/>
          <w:lang w:eastAsia="es-ES"/>
        </w:rPr>
        <w:t>e un</w:t>
      </w:r>
      <w:r w:rsidR="003F7201" w:rsidRPr="00585666">
        <w:rPr>
          <w:color w:val="auto"/>
          <w:sz w:val="22"/>
          <w:lang w:eastAsia="es-ES"/>
        </w:rPr>
        <w:t xml:space="preserve"> artículo 64 bis</w:t>
      </w:r>
      <w:r w:rsidR="003A4193" w:rsidRPr="00585666">
        <w:rPr>
          <w:color w:val="auto"/>
          <w:sz w:val="22"/>
          <w:lang w:eastAsia="es-ES"/>
        </w:rPr>
        <w:t xml:space="preserve"> y 64 ter</w:t>
      </w:r>
      <w:r w:rsidRPr="00585666">
        <w:rPr>
          <w:color w:val="auto"/>
          <w:sz w:val="22"/>
          <w:lang w:eastAsia="es-ES"/>
        </w:rPr>
        <w:t xml:space="preserve">, con </w:t>
      </w:r>
      <w:r w:rsidR="00F95AA4" w:rsidRPr="00585666">
        <w:rPr>
          <w:color w:val="auto"/>
          <w:sz w:val="22"/>
          <w:lang w:eastAsia="es-ES"/>
        </w:rPr>
        <w:t xml:space="preserve">los cuales </w:t>
      </w:r>
      <w:r w:rsidR="003F7201" w:rsidRPr="00585666">
        <w:rPr>
          <w:color w:val="auto"/>
          <w:sz w:val="22"/>
          <w:lang w:eastAsia="es-ES"/>
        </w:rPr>
        <w:t xml:space="preserve"> </w:t>
      </w:r>
      <w:r w:rsidR="003F7201" w:rsidRPr="00585666">
        <w:rPr>
          <w:sz w:val="22"/>
          <w:lang w:eastAsia="es-ES"/>
        </w:rPr>
        <w:t xml:space="preserve">se pretende que </w:t>
      </w:r>
      <w:r w:rsidR="003F7201" w:rsidRPr="00585666">
        <w:rPr>
          <w:color w:val="auto"/>
          <w:sz w:val="22"/>
        </w:rPr>
        <w:t>las conductas de hostigamiento y acoso sexual sean consideradas como falta</w:t>
      </w:r>
      <w:r w:rsidR="0061746D" w:rsidRPr="00585666">
        <w:rPr>
          <w:color w:val="auto"/>
          <w:sz w:val="22"/>
        </w:rPr>
        <w:t>s</w:t>
      </w:r>
      <w:r w:rsidR="003F7201" w:rsidRPr="00585666">
        <w:rPr>
          <w:color w:val="auto"/>
          <w:sz w:val="22"/>
        </w:rPr>
        <w:t xml:space="preserve"> administrativa</w:t>
      </w:r>
      <w:r w:rsidR="0061746D" w:rsidRPr="00585666">
        <w:rPr>
          <w:color w:val="auto"/>
          <w:sz w:val="22"/>
        </w:rPr>
        <w:t>s</w:t>
      </w:r>
      <w:r w:rsidR="003F7201" w:rsidRPr="00585666">
        <w:rPr>
          <w:color w:val="auto"/>
          <w:sz w:val="22"/>
        </w:rPr>
        <w:t xml:space="preserve"> de carácter grave, se acordó se integraran a la redacción de la propuesta los conceptos de ambas conductas, </w:t>
      </w:r>
      <w:r w:rsidRPr="00585666">
        <w:rPr>
          <w:color w:val="auto"/>
          <w:sz w:val="22"/>
        </w:rPr>
        <w:t>de tal manera que se pueda</w:t>
      </w:r>
      <w:r w:rsidR="003F7201" w:rsidRPr="00585666">
        <w:rPr>
          <w:color w:val="auto"/>
          <w:sz w:val="22"/>
        </w:rPr>
        <w:t xml:space="preserve"> definir y establecer cu</w:t>
      </w:r>
      <w:r w:rsidR="00537AB2" w:rsidRPr="00585666">
        <w:rPr>
          <w:color w:val="auto"/>
          <w:sz w:val="22"/>
        </w:rPr>
        <w:t>á</w:t>
      </w:r>
      <w:r w:rsidR="003F7201" w:rsidRPr="00585666">
        <w:rPr>
          <w:color w:val="auto"/>
          <w:sz w:val="22"/>
        </w:rPr>
        <w:t>ndo se estaría en presencia de dichas conducta</w:t>
      </w:r>
      <w:r w:rsidRPr="00585666">
        <w:rPr>
          <w:color w:val="auto"/>
          <w:sz w:val="22"/>
        </w:rPr>
        <w:t>s</w:t>
      </w:r>
      <w:r w:rsidR="003F7201" w:rsidRPr="00585666">
        <w:rPr>
          <w:color w:val="auto"/>
          <w:sz w:val="22"/>
        </w:rPr>
        <w:t>,</w:t>
      </w:r>
      <w:r w:rsidRPr="00585666">
        <w:rPr>
          <w:color w:val="auto"/>
          <w:sz w:val="22"/>
        </w:rPr>
        <w:t xml:space="preserve"> considerando</w:t>
      </w:r>
      <w:r w:rsidR="007035BF" w:rsidRPr="00585666">
        <w:rPr>
          <w:color w:val="auto"/>
          <w:sz w:val="22"/>
          <w:lang w:eastAsia="es-ES"/>
        </w:rPr>
        <w:t xml:space="preserve"> que es esencial </w:t>
      </w:r>
      <w:r w:rsidR="00FA66BD" w:rsidRPr="00585666">
        <w:rPr>
          <w:color w:val="auto"/>
          <w:sz w:val="22"/>
          <w:lang w:eastAsia="es-ES"/>
        </w:rPr>
        <w:t xml:space="preserve">tales definiciones en la normativa materia de la presente propuesta de iniciativa </w:t>
      </w:r>
      <w:r w:rsidR="007035BF" w:rsidRPr="00585666">
        <w:rPr>
          <w:color w:val="auto"/>
          <w:sz w:val="22"/>
          <w:lang w:eastAsia="es-ES"/>
        </w:rPr>
        <w:t>para procurar</w:t>
      </w:r>
      <w:r w:rsidR="00FA66BD" w:rsidRPr="00585666">
        <w:rPr>
          <w:color w:val="auto"/>
          <w:sz w:val="22"/>
          <w:lang w:eastAsia="es-ES"/>
        </w:rPr>
        <w:t xml:space="preserve"> claridad y</w:t>
      </w:r>
      <w:r w:rsidR="007035BF" w:rsidRPr="00585666">
        <w:rPr>
          <w:color w:val="auto"/>
          <w:sz w:val="22"/>
          <w:lang w:eastAsia="es-ES"/>
        </w:rPr>
        <w:t xml:space="preserve"> una pronta y expedita administración de justicia</w:t>
      </w:r>
      <w:r w:rsidR="00FA66BD" w:rsidRPr="00585666">
        <w:rPr>
          <w:color w:val="auto"/>
          <w:sz w:val="22"/>
          <w:lang w:eastAsia="es-ES"/>
        </w:rPr>
        <w:t>, y por tanto</w:t>
      </w:r>
      <w:r w:rsidR="007035BF" w:rsidRPr="00585666">
        <w:rPr>
          <w:color w:val="auto"/>
          <w:sz w:val="22"/>
          <w:lang w:eastAsia="es-ES"/>
        </w:rPr>
        <w:t xml:space="preserve"> no </w:t>
      </w:r>
      <w:r w:rsidR="00FA66BD" w:rsidRPr="00585666">
        <w:rPr>
          <w:color w:val="auto"/>
          <w:sz w:val="22"/>
          <w:lang w:eastAsia="es-ES"/>
        </w:rPr>
        <w:t>resulte necesaria la atención y remisión</w:t>
      </w:r>
      <w:r w:rsidR="007035BF" w:rsidRPr="00585666">
        <w:rPr>
          <w:color w:val="auto"/>
          <w:sz w:val="22"/>
          <w:lang w:eastAsia="es-ES"/>
        </w:rPr>
        <w:t xml:space="preserve"> a </w:t>
      </w:r>
      <w:r w:rsidR="003F7201" w:rsidRPr="00585666">
        <w:rPr>
          <w:color w:val="auto"/>
          <w:sz w:val="22"/>
          <w:lang w:eastAsia="es-ES"/>
        </w:rPr>
        <w:t>otras disposiciones normativas</w:t>
      </w:r>
      <w:r w:rsidRPr="00585666">
        <w:rPr>
          <w:color w:val="auto"/>
          <w:sz w:val="22"/>
          <w:lang w:eastAsia="es-ES"/>
        </w:rPr>
        <w:t xml:space="preserve"> para encuadra</w:t>
      </w:r>
      <w:r w:rsidR="00241AA4" w:rsidRPr="00585666">
        <w:rPr>
          <w:color w:val="auto"/>
          <w:sz w:val="22"/>
          <w:lang w:eastAsia="es-ES"/>
        </w:rPr>
        <w:t>r</w:t>
      </w:r>
      <w:r w:rsidRPr="00585666">
        <w:rPr>
          <w:color w:val="auto"/>
          <w:sz w:val="22"/>
          <w:lang w:eastAsia="es-ES"/>
        </w:rPr>
        <w:t xml:space="preserve"> </w:t>
      </w:r>
      <w:r w:rsidR="00FA66BD" w:rsidRPr="00585666">
        <w:rPr>
          <w:color w:val="auto"/>
          <w:sz w:val="22"/>
          <w:lang w:eastAsia="es-ES"/>
        </w:rPr>
        <w:t>las citadas</w:t>
      </w:r>
      <w:r w:rsidRPr="00585666">
        <w:rPr>
          <w:color w:val="auto"/>
          <w:sz w:val="22"/>
          <w:lang w:eastAsia="es-ES"/>
        </w:rPr>
        <w:t xml:space="preserve"> conductas. </w:t>
      </w:r>
    </w:p>
    <w:p w14:paraId="4403AACD" w14:textId="2717F865" w:rsidR="007035BF" w:rsidRPr="00585666" w:rsidRDefault="007035BF" w:rsidP="007035BF">
      <w:pPr>
        <w:pStyle w:val="Sinespaciado"/>
        <w:ind w:left="0" w:firstLine="0"/>
        <w:rPr>
          <w:color w:val="auto"/>
          <w:sz w:val="22"/>
          <w:lang w:eastAsia="es-ES"/>
        </w:rPr>
      </w:pPr>
    </w:p>
    <w:p w14:paraId="6BCEF858" w14:textId="77777777" w:rsidR="007035BF" w:rsidRPr="00585666" w:rsidRDefault="007035BF" w:rsidP="00276D8F">
      <w:pPr>
        <w:spacing w:after="0" w:line="240" w:lineRule="auto"/>
        <w:ind w:right="68"/>
        <w:jc w:val="both"/>
        <w:rPr>
          <w:rFonts w:ascii="Arial" w:hAnsi="Arial" w:cs="Arial"/>
          <w:lang w:val="es-ES"/>
        </w:rPr>
      </w:pPr>
    </w:p>
    <w:p w14:paraId="7E1A3A02" w14:textId="21FB4470" w:rsidR="007035BF" w:rsidRPr="00585666" w:rsidRDefault="007035BF" w:rsidP="007035BF">
      <w:pPr>
        <w:spacing w:after="0" w:line="240" w:lineRule="auto"/>
        <w:ind w:left="-5" w:right="68"/>
        <w:jc w:val="both"/>
        <w:rPr>
          <w:rFonts w:ascii="Arial" w:hAnsi="Arial" w:cs="Arial"/>
          <w:bCs/>
          <w:lang w:val="es-ES"/>
        </w:rPr>
      </w:pPr>
      <w:r w:rsidRPr="00585666">
        <w:rPr>
          <w:rFonts w:ascii="Arial" w:hAnsi="Arial" w:cs="Arial"/>
          <w:bCs/>
          <w:lang w:val="es-ES"/>
        </w:rPr>
        <w:t>Por lo anteriormente expuesto, se somete a consideración de este Ayuntamiento la aprobación de la propuesta del siguiente:</w:t>
      </w:r>
    </w:p>
    <w:p w14:paraId="3F7D33E9" w14:textId="413D4677" w:rsidR="00D85069" w:rsidRPr="00585666" w:rsidRDefault="00D85069" w:rsidP="007035BF">
      <w:pPr>
        <w:spacing w:after="0" w:line="240" w:lineRule="auto"/>
        <w:ind w:left="-5" w:right="68"/>
        <w:jc w:val="both"/>
        <w:rPr>
          <w:rFonts w:ascii="Arial" w:hAnsi="Arial" w:cs="Arial"/>
          <w:bCs/>
          <w:lang w:val="es-ES"/>
        </w:rPr>
      </w:pPr>
    </w:p>
    <w:p w14:paraId="66C50E62" w14:textId="30C5A68F" w:rsidR="00D85069" w:rsidRPr="00585666" w:rsidRDefault="00D85069" w:rsidP="007035BF">
      <w:pPr>
        <w:spacing w:after="0" w:line="240" w:lineRule="auto"/>
        <w:ind w:left="-5" w:right="68"/>
        <w:jc w:val="both"/>
        <w:rPr>
          <w:rFonts w:ascii="Arial" w:hAnsi="Arial" w:cs="Arial"/>
          <w:bCs/>
          <w:lang w:val="es-ES"/>
        </w:rPr>
      </w:pPr>
    </w:p>
    <w:p w14:paraId="0A9D45E8" w14:textId="77777777" w:rsidR="007035BF" w:rsidRPr="00585666" w:rsidRDefault="007035BF" w:rsidP="00D85069">
      <w:pPr>
        <w:spacing w:after="0" w:line="240" w:lineRule="auto"/>
        <w:ind w:right="68"/>
        <w:rPr>
          <w:rFonts w:ascii="Arial" w:hAnsi="Arial" w:cs="Arial"/>
        </w:rPr>
      </w:pPr>
    </w:p>
    <w:p w14:paraId="4E8F81CA" w14:textId="77777777" w:rsidR="007035BF" w:rsidRPr="00585666" w:rsidRDefault="007035BF" w:rsidP="007035BF">
      <w:pPr>
        <w:pStyle w:val="Ttulo1"/>
        <w:spacing w:line="240" w:lineRule="auto"/>
        <w:ind w:right="98"/>
        <w:rPr>
          <w:color w:val="auto"/>
          <w:sz w:val="22"/>
        </w:rPr>
      </w:pPr>
      <w:r w:rsidRPr="00585666">
        <w:rPr>
          <w:color w:val="auto"/>
          <w:sz w:val="22"/>
        </w:rPr>
        <w:t xml:space="preserve">A C U E R D O </w:t>
      </w:r>
    </w:p>
    <w:p w14:paraId="7272F82C" w14:textId="77777777" w:rsidR="007035BF" w:rsidRPr="00585666" w:rsidRDefault="007035BF" w:rsidP="007035BF">
      <w:pPr>
        <w:spacing w:after="0" w:line="240" w:lineRule="auto"/>
        <w:ind w:right="17"/>
        <w:jc w:val="center"/>
        <w:rPr>
          <w:rFonts w:ascii="Arial" w:hAnsi="Arial" w:cs="Arial"/>
          <w:b/>
        </w:rPr>
      </w:pPr>
    </w:p>
    <w:p w14:paraId="3FA7AF5D" w14:textId="690E4E96" w:rsidR="007035BF" w:rsidRPr="00585666" w:rsidRDefault="007035BF" w:rsidP="007035BF">
      <w:pPr>
        <w:spacing w:after="0" w:line="240" w:lineRule="auto"/>
        <w:ind w:left="-5" w:right="68"/>
        <w:jc w:val="both"/>
        <w:rPr>
          <w:rFonts w:ascii="Arial" w:hAnsi="Arial" w:cs="Arial"/>
        </w:rPr>
      </w:pPr>
      <w:r w:rsidRPr="00585666">
        <w:rPr>
          <w:rFonts w:ascii="Arial" w:hAnsi="Arial" w:cs="Arial"/>
          <w:b/>
        </w:rPr>
        <w:t>ÚNICO.</w:t>
      </w:r>
      <w:r w:rsidRPr="00585666">
        <w:rPr>
          <w:rFonts w:ascii="Arial" w:hAnsi="Arial" w:cs="Arial"/>
        </w:rPr>
        <w:t xml:space="preserve"> Con fundamento en los artículos 56 fracción IV y 117 fracción XVII de la Constitución Política para el Estado de Guanajuato así como 76 fracción I inciso a) de la Ley Orgánica Municipal para el Estado de Guanajuato; </w:t>
      </w:r>
      <w:bookmarkStart w:id="0" w:name="OLE_LINK1"/>
      <w:bookmarkStart w:id="1" w:name="OLE_LINK2"/>
      <w:r w:rsidRPr="00585666">
        <w:rPr>
          <w:rFonts w:ascii="Arial" w:hAnsi="Arial" w:cs="Arial"/>
          <w:b/>
          <w:i/>
        </w:rPr>
        <w:t xml:space="preserve">se autoriza presentar al H. Congreso del Estado de Guanajuato la iniciativa de </w:t>
      </w:r>
      <w:r w:rsidR="00FA66BD" w:rsidRPr="00585666">
        <w:rPr>
          <w:rFonts w:ascii="Arial" w:hAnsi="Arial" w:cs="Arial"/>
          <w:b/>
          <w:i/>
        </w:rPr>
        <w:t xml:space="preserve">reformas y </w:t>
      </w:r>
      <w:r w:rsidRPr="00585666">
        <w:rPr>
          <w:rFonts w:ascii="Arial" w:hAnsi="Arial" w:cs="Arial"/>
          <w:b/>
          <w:i/>
        </w:rPr>
        <w:t>adiciones</w:t>
      </w:r>
      <w:r w:rsidR="00DD5A62" w:rsidRPr="00585666">
        <w:rPr>
          <w:rFonts w:ascii="Arial" w:hAnsi="Arial" w:cs="Arial"/>
          <w:b/>
          <w:i/>
        </w:rPr>
        <w:t xml:space="preserve"> </w:t>
      </w:r>
      <w:r w:rsidRPr="00585666">
        <w:rPr>
          <w:rFonts w:ascii="Arial" w:hAnsi="Arial" w:cs="Arial"/>
          <w:b/>
          <w:i/>
        </w:rPr>
        <w:t>a</w:t>
      </w:r>
      <w:r w:rsidR="00931C20" w:rsidRPr="00585666">
        <w:rPr>
          <w:rFonts w:ascii="Arial" w:hAnsi="Arial" w:cs="Arial"/>
          <w:b/>
          <w:i/>
        </w:rPr>
        <w:t xml:space="preserve"> Ley de Responsabilidades Administrativas para el Estado de Guanajuato</w:t>
      </w:r>
      <w:r w:rsidRPr="00585666">
        <w:rPr>
          <w:rFonts w:ascii="Arial" w:hAnsi="Arial" w:cs="Arial"/>
        </w:rPr>
        <w:t xml:space="preserve">, </w:t>
      </w:r>
      <w:r w:rsidR="00D85069" w:rsidRPr="00585666">
        <w:rPr>
          <w:rFonts w:ascii="Arial" w:hAnsi="Arial" w:cs="Arial"/>
        </w:rPr>
        <w:t>publicada en el Periódico Oficial del Gobierno del Estado, número 98, cuarta parte, de fecha 20 de junio de 2017</w:t>
      </w:r>
      <w:r w:rsidRPr="00585666">
        <w:rPr>
          <w:rFonts w:ascii="Arial" w:hAnsi="Arial" w:cs="Arial"/>
        </w:rPr>
        <w:t xml:space="preserve">, </w:t>
      </w:r>
      <w:bookmarkEnd w:id="0"/>
      <w:bookmarkEnd w:id="1"/>
      <w:r w:rsidRPr="00585666">
        <w:rPr>
          <w:rFonts w:ascii="Arial" w:hAnsi="Arial" w:cs="Arial"/>
        </w:rPr>
        <w:t>en los términos del documento que como anexo forma parte del presente acuerdo.</w:t>
      </w:r>
      <w:r w:rsidRPr="00585666">
        <w:rPr>
          <w:rFonts w:ascii="Arial" w:hAnsi="Arial" w:cs="Arial"/>
          <w:b/>
        </w:rPr>
        <w:t xml:space="preserve"> </w:t>
      </w:r>
      <w:r w:rsidRPr="00585666">
        <w:rPr>
          <w:rFonts w:ascii="Arial" w:hAnsi="Arial" w:cs="Arial"/>
        </w:rPr>
        <w:t xml:space="preserve"> </w:t>
      </w:r>
    </w:p>
    <w:p w14:paraId="1EFF5489" w14:textId="4604B345" w:rsidR="007035BF" w:rsidRPr="00585666" w:rsidRDefault="007035BF" w:rsidP="007035BF">
      <w:pPr>
        <w:spacing w:after="0" w:line="240" w:lineRule="auto"/>
        <w:rPr>
          <w:rFonts w:ascii="Arial" w:hAnsi="Arial" w:cs="Arial"/>
          <w:b/>
          <w:lang w:val="es-ES"/>
        </w:rPr>
      </w:pPr>
    </w:p>
    <w:p w14:paraId="3D5E2B05" w14:textId="60A52732" w:rsidR="00FA66BD" w:rsidRPr="00585666" w:rsidRDefault="00FA66BD" w:rsidP="007035BF">
      <w:pPr>
        <w:spacing w:after="0" w:line="240" w:lineRule="auto"/>
        <w:rPr>
          <w:rFonts w:ascii="Arial" w:hAnsi="Arial" w:cs="Arial"/>
          <w:b/>
          <w:lang w:val="es-ES"/>
        </w:rPr>
      </w:pPr>
    </w:p>
    <w:p w14:paraId="219F22E1" w14:textId="77777777" w:rsidR="00FA66BD" w:rsidRPr="00585666" w:rsidRDefault="00FA66BD" w:rsidP="00FA66BD">
      <w:pPr>
        <w:spacing w:after="0" w:line="240" w:lineRule="auto"/>
        <w:jc w:val="center"/>
        <w:rPr>
          <w:rFonts w:ascii="Arial" w:hAnsi="Arial" w:cs="Arial"/>
          <w:b/>
        </w:rPr>
      </w:pPr>
      <w:r w:rsidRPr="00585666">
        <w:rPr>
          <w:rFonts w:ascii="Arial" w:hAnsi="Arial" w:cs="Arial"/>
          <w:b/>
        </w:rPr>
        <w:t>A T E N T A M E N T E</w:t>
      </w:r>
    </w:p>
    <w:p w14:paraId="3ADD94D6" w14:textId="77777777" w:rsidR="00FA66BD" w:rsidRPr="00585666" w:rsidRDefault="00FA66BD" w:rsidP="007035BF">
      <w:pPr>
        <w:spacing w:after="0" w:line="240" w:lineRule="auto"/>
        <w:rPr>
          <w:rFonts w:ascii="Arial" w:hAnsi="Arial" w:cs="Arial"/>
          <w:b/>
          <w:lang w:val="es-ES"/>
        </w:rPr>
      </w:pPr>
    </w:p>
    <w:p w14:paraId="193900B4" w14:textId="1ED4F77E" w:rsidR="00857714" w:rsidRPr="00585666" w:rsidRDefault="00857714" w:rsidP="00857714">
      <w:pPr>
        <w:shd w:val="clear" w:color="auto" w:fill="FFFFFF"/>
        <w:spacing w:after="0"/>
        <w:jc w:val="center"/>
        <w:rPr>
          <w:rFonts w:ascii="Arial" w:hAnsi="Arial" w:cs="Arial"/>
          <w:b/>
          <w:color w:val="000000" w:themeColor="text1"/>
        </w:rPr>
      </w:pPr>
      <w:r w:rsidRPr="00585666">
        <w:rPr>
          <w:rFonts w:ascii="Arial" w:eastAsia="Times New Roman" w:hAnsi="Arial" w:cs="Arial"/>
          <w:b/>
          <w:bCs/>
          <w:color w:val="000000" w:themeColor="text1"/>
          <w:lang w:eastAsia="es-MX"/>
        </w:rPr>
        <w:t>“</w:t>
      </w:r>
      <w:r w:rsidRPr="00585666">
        <w:rPr>
          <w:rFonts w:ascii="Arial" w:hAnsi="Arial" w:cs="Arial"/>
          <w:b/>
          <w:color w:val="000000" w:themeColor="text1"/>
        </w:rPr>
        <w:t>EL TRABAJO TODO LO VENCE”</w:t>
      </w:r>
    </w:p>
    <w:p w14:paraId="3ADCB209" w14:textId="61189812" w:rsidR="00857714" w:rsidRPr="00585666" w:rsidRDefault="00857714" w:rsidP="00857714">
      <w:pPr>
        <w:shd w:val="clear" w:color="auto" w:fill="FFFFFF"/>
        <w:spacing w:after="0"/>
        <w:jc w:val="center"/>
        <w:rPr>
          <w:rFonts w:ascii="Arial" w:hAnsi="Arial" w:cs="Arial"/>
          <w:b/>
          <w:color w:val="000000" w:themeColor="text1"/>
        </w:rPr>
      </w:pPr>
      <w:r w:rsidRPr="00585666">
        <w:rPr>
          <w:rFonts w:ascii="Arial" w:hAnsi="Arial" w:cs="Arial"/>
          <w:b/>
          <w:color w:val="000000" w:themeColor="text1"/>
        </w:rPr>
        <w:t> “2021, AÑO DE LA INDEPENDENCIA”</w:t>
      </w:r>
    </w:p>
    <w:p w14:paraId="3FA6E966" w14:textId="42D5DFE6" w:rsidR="00857714" w:rsidRPr="00585666" w:rsidRDefault="00857714" w:rsidP="00857714">
      <w:pPr>
        <w:shd w:val="clear" w:color="auto" w:fill="FFFFFF"/>
        <w:spacing w:after="0"/>
        <w:jc w:val="center"/>
        <w:rPr>
          <w:rFonts w:ascii="Arial" w:hAnsi="Arial" w:cs="Arial"/>
          <w:b/>
          <w:color w:val="000000" w:themeColor="text1"/>
        </w:rPr>
      </w:pPr>
      <w:r w:rsidRPr="00585666">
        <w:rPr>
          <w:rFonts w:ascii="Arial" w:hAnsi="Arial" w:cs="Arial"/>
          <w:b/>
          <w:color w:val="000000" w:themeColor="text1"/>
        </w:rPr>
        <w:t xml:space="preserve">LEÓN, GUANAJUATO; A </w:t>
      </w:r>
      <w:r w:rsidR="00D85069" w:rsidRPr="00585666">
        <w:rPr>
          <w:rFonts w:ascii="Arial" w:hAnsi="Arial" w:cs="Arial"/>
          <w:b/>
          <w:color w:val="000000" w:themeColor="text1"/>
        </w:rPr>
        <w:t>2</w:t>
      </w:r>
      <w:r w:rsidRPr="00585666">
        <w:rPr>
          <w:rFonts w:ascii="Arial" w:hAnsi="Arial" w:cs="Arial"/>
          <w:b/>
          <w:color w:val="000000" w:themeColor="text1"/>
        </w:rPr>
        <w:t xml:space="preserve"> D</w:t>
      </w:r>
      <w:r w:rsidR="00D85069" w:rsidRPr="00585666">
        <w:rPr>
          <w:rFonts w:ascii="Arial" w:hAnsi="Arial" w:cs="Arial"/>
          <w:b/>
          <w:color w:val="000000" w:themeColor="text1"/>
        </w:rPr>
        <w:t>E MARZO</w:t>
      </w:r>
      <w:r w:rsidRPr="00585666">
        <w:rPr>
          <w:rFonts w:ascii="Arial" w:hAnsi="Arial" w:cs="Arial"/>
          <w:b/>
          <w:color w:val="000000" w:themeColor="text1"/>
        </w:rPr>
        <w:t xml:space="preserve"> DE 2021</w:t>
      </w:r>
    </w:p>
    <w:p w14:paraId="22719D32" w14:textId="5AD71CAA" w:rsidR="00857714" w:rsidRPr="00585666" w:rsidRDefault="00857714" w:rsidP="00D85069">
      <w:pPr>
        <w:shd w:val="clear" w:color="auto" w:fill="FFFFFF"/>
        <w:spacing w:after="0"/>
        <w:rPr>
          <w:rFonts w:ascii="Arial" w:hAnsi="Arial" w:cs="Arial"/>
          <w:b/>
          <w:color w:val="000000" w:themeColor="text1"/>
        </w:rPr>
      </w:pPr>
    </w:p>
    <w:p w14:paraId="097383DF" w14:textId="2F96BAE2" w:rsidR="00241AA4" w:rsidRPr="00585666" w:rsidRDefault="00241AA4" w:rsidP="00D85069">
      <w:pPr>
        <w:shd w:val="clear" w:color="auto" w:fill="FFFFFF"/>
        <w:spacing w:after="0"/>
        <w:rPr>
          <w:rFonts w:ascii="Arial" w:hAnsi="Arial" w:cs="Arial"/>
          <w:b/>
          <w:color w:val="000000" w:themeColor="text1"/>
        </w:rPr>
      </w:pPr>
    </w:p>
    <w:p w14:paraId="677EA4A0" w14:textId="007E79F3" w:rsidR="00241AA4" w:rsidRPr="00585666" w:rsidRDefault="00241AA4" w:rsidP="00D85069">
      <w:pPr>
        <w:shd w:val="clear" w:color="auto" w:fill="FFFFFF"/>
        <w:spacing w:after="0"/>
        <w:rPr>
          <w:rFonts w:ascii="Arial" w:hAnsi="Arial" w:cs="Arial"/>
          <w:b/>
          <w:color w:val="000000" w:themeColor="text1"/>
        </w:rPr>
      </w:pPr>
    </w:p>
    <w:p w14:paraId="0F19215E" w14:textId="77777777" w:rsidR="00241AA4" w:rsidRPr="00585666" w:rsidRDefault="00241AA4" w:rsidP="00D85069">
      <w:pPr>
        <w:shd w:val="clear" w:color="auto" w:fill="FFFFFF"/>
        <w:spacing w:after="0"/>
        <w:rPr>
          <w:rFonts w:ascii="Arial" w:hAnsi="Arial" w:cs="Arial"/>
          <w:b/>
          <w:color w:val="000000" w:themeColor="text1"/>
        </w:rPr>
      </w:pPr>
    </w:p>
    <w:p w14:paraId="2165FB3C" w14:textId="77777777" w:rsidR="007035BF" w:rsidRPr="00585666" w:rsidRDefault="007035BF" w:rsidP="007035BF">
      <w:pPr>
        <w:spacing w:after="0" w:line="240" w:lineRule="auto"/>
        <w:jc w:val="center"/>
        <w:rPr>
          <w:rFonts w:ascii="Arial" w:hAnsi="Arial" w:cs="Arial"/>
          <w:b/>
        </w:rPr>
      </w:pPr>
    </w:p>
    <w:p w14:paraId="77DB32D5" w14:textId="2E6C3250" w:rsidR="007035BF" w:rsidRPr="00585666" w:rsidRDefault="007035BF" w:rsidP="00857714">
      <w:pPr>
        <w:spacing w:after="0" w:line="240" w:lineRule="auto"/>
        <w:jc w:val="center"/>
        <w:rPr>
          <w:rFonts w:ascii="Arial" w:hAnsi="Arial" w:cs="Arial"/>
          <w:b/>
        </w:rPr>
      </w:pPr>
      <w:r w:rsidRPr="00585666">
        <w:rPr>
          <w:rFonts w:ascii="Arial" w:hAnsi="Arial" w:cs="Arial"/>
          <w:b/>
        </w:rPr>
        <w:lastRenderedPageBreak/>
        <w:t xml:space="preserve">INTEGRANTES DE LA COMISIONES UNIDAS DE </w:t>
      </w:r>
      <w:r w:rsidR="00857714" w:rsidRPr="00585666">
        <w:rPr>
          <w:rFonts w:ascii="Arial" w:hAnsi="Arial" w:cs="Arial"/>
          <w:b/>
        </w:rPr>
        <w:t xml:space="preserve">CONTRALORÍA Y COMBATE A LA CORRUPCIÓN, ASÍ COMO LA DE </w:t>
      </w:r>
      <w:r w:rsidRPr="00585666">
        <w:rPr>
          <w:rFonts w:ascii="Arial" w:hAnsi="Arial" w:cs="Arial"/>
          <w:b/>
        </w:rPr>
        <w:t>GOBIERNO, SEGURIDAD PÚBLICA Y TRÁNSITO</w:t>
      </w:r>
    </w:p>
    <w:p w14:paraId="2F3A12E3" w14:textId="77777777" w:rsidR="007035BF" w:rsidRPr="00585666" w:rsidRDefault="007035BF" w:rsidP="007035BF">
      <w:pPr>
        <w:spacing w:after="0" w:line="240" w:lineRule="auto"/>
        <w:rPr>
          <w:rFonts w:ascii="Arial" w:hAnsi="Arial" w:cs="Arial"/>
          <w:b/>
        </w:rPr>
      </w:pPr>
    </w:p>
    <w:p w14:paraId="61F34B88" w14:textId="55DB796F" w:rsidR="007035BF" w:rsidRPr="00585666" w:rsidRDefault="007035BF" w:rsidP="007035BF">
      <w:pPr>
        <w:spacing w:after="0" w:line="240" w:lineRule="auto"/>
        <w:rPr>
          <w:rFonts w:ascii="Arial" w:hAnsi="Arial" w:cs="Arial"/>
          <w:b/>
        </w:rPr>
      </w:pPr>
    </w:p>
    <w:p w14:paraId="5FCE8E02" w14:textId="77777777" w:rsidR="00857714" w:rsidRPr="00585666" w:rsidRDefault="00857714" w:rsidP="007035BF">
      <w:pPr>
        <w:spacing w:after="0" w:line="240" w:lineRule="auto"/>
        <w:rPr>
          <w:rFonts w:ascii="Arial" w:hAnsi="Arial" w:cs="Arial"/>
          <w:b/>
        </w:rPr>
      </w:pPr>
    </w:p>
    <w:p w14:paraId="4DA57BAB" w14:textId="51490041" w:rsidR="007035BF" w:rsidRPr="00070518" w:rsidRDefault="007035BF" w:rsidP="007035BF">
      <w:pPr>
        <w:spacing w:after="0" w:line="240" w:lineRule="auto"/>
        <w:rPr>
          <w:rFonts w:ascii="Arial" w:hAnsi="Arial" w:cs="Arial"/>
          <w:b/>
          <w:color w:val="FF0000"/>
        </w:rPr>
      </w:pPr>
    </w:p>
    <w:p w14:paraId="6086321A" w14:textId="77777777" w:rsidR="007035BF" w:rsidRPr="00585666" w:rsidRDefault="007035BF" w:rsidP="007035BF">
      <w:pPr>
        <w:spacing w:after="0" w:line="240" w:lineRule="auto"/>
        <w:rPr>
          <w:rFonts w:ascii="Arial" w:hAnsi="Arial" w:cs="Arial"/>
          <w:b/>
        </w:rPr>
      </w:pPr>
      <w:r w:rsidRPr="00585666">
        <w:rPr>
          <w:rFonts w:ascii="Arial" w:hAnsi="Arial" w:cs="Arial"/>
          <w:b/>
        </w:rPr>
        <w:t>CHRISTIAN JAVIER CRUZ VILLEGAS</w:t>
      </w:r>
    </w:p>
    <w:p w14:paraId="173CE744" w14:textId="77777777" w:rsidR="007035BF" w:rsidRPr="00585666" w:rsidRDefault="007035BF" w:rsidP="007035BF">
      <w:pPr>
        <w:spacing w:after="0" w:line="240" w:lineRule="auto"/>
        <w:rPr>
          <w:rFonts w:ascii="Arial" w:hAnsi="Arial" w:cs="Arial"/>
          <w:b/>
        </w:rPr>
      </w:pPr>
      <w:r w:rsidRPr="00585666">
        <w:rPr>
          <w:rFonts w:ascii="Arial" w:hAnsi="Arial" w:cs="Arial"/>
          <w:b/>
        </w:rPr>
        <w:t>SÍNDICO</w:t>
      </w:r>
    </w:p>
    <w:p w14:paraId="10B2A8C2" w14:textId="789B8BCC" w:rsidR="00857714" w:rsidRPr="00070518" w:rsidRDefault="00857714" w:rsidP="00070518">
      <w:pPr>
        <w:spacing w:after="0" w:line="240" w:lineRule="auto"/>
        <w:jc w:val="right"/>
        <w:rPr>
          <w:rFonts w:ascii="Arial" w:hAnsi="Arial" w:cs="Arial"/>
          <w:b/>
          <w:color w:val="FF0000"/>
        </w:rPr>
      </w:pPr>
    </w:p>
    <w:p w14:paraId="65EC7124" w14:textId="77777777" w:rsidR="007035BF" w:rsidRPr="00585666" w:rsidRDefault="007035BF" w:rsidP="007035BF">
      <w:pPr>
        <w:spacing w:after="0" w:line="240" w:lineRule="auto"/>
        <w:jc w:val="right"/>
        <w:rPr>
          <w:rFonts w:ascii="Arial" w:hAnsi="Arial" w:cs="Arial"/>
          <w:b/>
        </w:rPr>
      </w:pPr>
      <w:r w:rsidRPr="00585666">
        <w:rPr>
          <w:rFonts w:ascii="Arial" w:hAnsi="Arial" w:cs="Arial"/>
          <w:b/>
        </w:rPr>
        <w:t>MARÍA OLIMPIA ZAPATA PADILLA</w:t>
      </w:r>
    </w:p>
    <w:p w14:paraId="3ABD5C8D" w14:textId="77777777" w:rsidR="007035BF" w:rsidRPr="00585666" w:rsidRDefault="007035BF" w:rsidP="007035BF">
      <w:pPr>
        <w:spacing w:after="0" w:line="240" w:lineRule="auto"/>
        <w:jc w:val="right"/>
        <w:rPr>
          <w:rFonts w:ascii="Arial" w:hAnsi="Arial" w:cs="Arial"/>
          <w:b/>
        </w:rPr>
      </w:pPr>
      <w:r w:rsidRPr="00585666">
        <w:rPr>
          <w:rFonts w:ascii="Arial" w:hAnsi="Arial" w:cs="Arial"/>
          <w:b/>
        </w:rPr>
        <w:t>REGIDORA</w:t>
      </w:r>
    </w:p>
    <w:p w14:paraId="098A7D0E" w14:textId="024F12E4" w:rsidR="00857714" w:rsidRPr="00070518" w:rsidRDefault="00857714" w:rsidP="007035BF">
      <w:pPr>
        <w:spacing w:after="0" w:line="240" w:lineRule="auto"/>
        <w:rPr>
          <w:rFonts w:ascii="Arial" w:hAnsi="Arial" w:cs="Arial"/>
          <w:b/>
          <w:color w:val="FF0000"/>
        </w:rPr>
      </w:pPr>
    </w:p>
    <w:p w14:paraId="11E67B1E" w14:textId="77777777" w:rsidR="007035BF" w:rsidRPr="00585666" w:rsidRDefault="007035BF" w:rsidP="007035BF">
      <w:pPr>
        <w:spacing w:after="0" w:line="240" w:lineRule="auto"/>
        <w:rPr>
          <w:rFonts w:ascii="Arial" w:hAnsi="Arial" w:cs="Arial"/>
          <w:b/>
        </w:rPr>
      </w:pPr>
      <w:r w:rsidRPr="00585666">
        <w:rPr>
          <w:rFonts w:ascii="Arial" w:hAnsi="Arial" w:cs="Arial"/>
          <w:b/>
        </w:rPr>
        <w:t>ANA MARÍA ESQUIVEL ARRONA</w:t>
      </w:r>
    </w:p>
    <w:p w14:paraId="520DDC34" w14:textId="77777777" w:rsidR="007035BF" w:rsidRPr="00585666" w:rsidRDefault="007035BF" w:rsidP="007035BF">
      <w:pPr>
        <w:spacing w:after="0" w:line="240" w:lineRule="auto"/>
        <w:rPr>
          <w:rFonts w:ascii="Arial" w:hAnsi="Arial" w:cs="Arial"/>
          <w:b/>
        </w:rPr>
      </w:pPr>
      <w:r w:rsidRPr="00585666">
        <w:rPr>
          <w:rFonts w:ascii="Arial" w:hAnsi="Arial" w:cs="Arial"/>
          <w:b/>
        </w:rPr>
        <w:t>REGIDORA</w:t>
      </w:r>
    </w:p>
    <w:p w14:paraId="78C59A78" w14:textId="77777777" w:rsidR="007035BF" w:rsidRPr="00585666" w:rsidRDefault="007035BF" w:rsidP="007035BF">
      <w:pPr>
        <w:spacing w:after="0" w:line="240" w:lineRule="auto"/>
        <w:jc w:val="right"/>
        <w:rPr>
          <w:rFonts w:ascii="Arial" w:hAnsi="Arial" w:cs="Arial"/>
          <w:b/>
        </w:rPr>
      </w:pPr>
    </w:p>
    <w:p w14:paraId="163A557E" w14:textId="2E945905" w:rsidR="00857714" w:rsidRPr="00070518" w:rsidRDefault="00857714" w:rsidP="00070518">
      <w:pPr>
        <w:spacing w:after="0" w:line="240" w:lineRule="auto"/>
        <w:jc w:val="right"/>
        <w:rPr>
          <w:rFonts w:ascii="Arial" w:hAnsi="Arial" w:cs="Arial"/>
          <w:b/>
          <w:color w:val="FF0000"/>
        </w:rPr>
      </w:pPr>
    </w:p>
    <w:p w14:paraId="56EE8277" w14:textId="77777777" w:rsidR="00857714" w:rsidRPr="00585666" w:rsidRDefault="00857714" w:rsidP="00857714">
      <w:pPr>
        <w:spacing w:after="0" w:line="240" w:lineRule="auto"/>
        <w:jc w:val="right"/>
        <w:rPr>
          <w:rFonts w:ascii="Arial" w:hAnsi="Arial" w:cs="Arial"/>
          <w:b/>
        </w:rPr>
      </w:pPr>
      <w:r w:rsidRPr="00585666">
        <w:rPr>
          <w:rFonts w:ascii="Arial" w:hAnsi="Arial" w:cs="Arial"/>
          <w:b/>
        </w:rPr>
        <w:t>HÉCTOR ORTÍZ TORRES</w:t>
      </w:r>
    </w:p>
    <w:p w14:paraId="2714047C" w14:textId="77777777" w:rsidR="007035BF" w:rsidRPr="00585666" w:rsidRDefault="007035BF" w:rsidP="007035BF">
      <w:pPr>
        <w:spacing w:after="0" w:line="240" w:lineRule="auto"/>
        <w:jc w:val="right"/>
        <w:rPr>
          <w:rFonts w:ascii="Arial" w:hAnsi="Arial" w:cs="Arial"/>
          <w:b/>
        </w:rPr>
      </w:pPr>
      <w:r w:rsidRPr="00585666">
        <w:rPr>
          <w:rFonts w:ascii="Arial" w:hAnsi="Arial" w:cs="Arial"/>
          <w:b/>
        </w:rPr>
        <w:t>REGIDOR</w:t>
      </w:r>
    </w:p>
    <w:p w14:paraId="44B04115" w14:textId="77777777" w:rsidR="0080133D" w:rsidRPr="00585666" w:rsidRDefault="0080133D" w:rsidP="0080133D">
      <w:pPr>
        <w:spacing w:after="0" w:line="240" w:lineRule="auto"/>
        <w:rPr>
          <w:rFonts w:ascii="Arial" w:hAnsi="Arial" w:cs="Arial"/>
          <w:b/>
        </w:rPr>
      </w:pPr>
    </w:p>
    <w:p w14:paraId="4AF86D0A" w14:textId="0C27E465" w:rsidR="00857714" w:rsidRPr="0080133D" w:rsidRDefault="00857714" w:rsidP="00857714">
      <w:pPr>
        <w:spacing w:after="0" w:line="240" w:lineRule="auto"/>
        <w:rPr>
          <w:rFonts w:ascii="Arial" w:hAnsi="Arial" w:cs="Arial"/>
          <w:b/>
          <w:color w:val="FF0000"/>
        </w:rPr>
      </w:pPr>
    </w:p>
    <w:p w14:paraId="56DB2A8A" w14:textId="47DED75A" w:rsidR="00857714" w:rsidRPr="00585666" w:rsidRDefault="00857714" w:rsidP="00857714">
      <w:pPr>
        <w:spacing w:after="0" w:line="240" w:lineRule="auto"/>
        <w:rPr>
          <w:rFonts w:ascii="Arial" w:hAnsi="Arial" w:cs="Arial"/>
          <w:b/>
        </w:rPr>
      </w:pPr>
      <w:r w:rsidRPr="00585666">
        <w:rPr>
          <w:rFonts w:ascii="Arial" w:hAnsi="Arial" w:cs="Arial"/>
          <w:b/>
        </w:rPr>
        <w:t>GILBERTO LÓPEZ JIMÉNEZ</w:t>
      </w:r>
    </w:p>
    <w:p w14:paraId="60943FF6" w14:textId="58648999" w:rsidR="007035BF" w:rsidRPr="00585666" w:rsidRDefault="007035BF" w:rsidP="007035BF">
      <w:pPr>
        <w:spacing w:after="0" w:line="240" w:lineRule="auto"/>
        <w:rPr>
          <w:rFonts w:ascii="Arial" w:hAnsi="Arial" w:cs="Arial"/>
          <w:b/>
        </w:rPr>
      </w:pPr>
      <w:r w:rsidRPr="00585666">
        <w:rPr>
          <w:rFonts w:ascii="Arial" w:hAnsi="Arial" w:cs="Arial"/>
          <w:b/>
        </w:rPr>
        <w:t>REGIDOR</w:t>
      </w:r>
    </w:p>
    <w:p w14:paraId="3266AE96" w14:textId="7171BD6C" w:rsidR="007035BF" w:rsidRPr="00AC4B9D" w:rsidRDefault="007035BF" w:rsidP="00AC4B9D">
      <w:pPr>
        <w:spacing w:after="0" w:line="240" w:lineRule="auto"/>
        <w:jc w:val="right"/>
        <w:rPr>
          <w:rFonts w:ascii="Arial" w:hAnsi="Arial" w:cs="Arial"/>
          <w:b/>
          <w:color w:val="FF0000"/>
        </w:rPr>
      </w:pPr>
    </w:p>
    <w:p w14:paraId="284491C0" w14:textId="20287459" w:rsidR="007035BF" w:rsidRPr="00585666" w:rsidRDefault="007035BF" w:rsidP="007035BF">
      <w:pPr>
        <w:spacing w:after="0" w:line="240" w:lineRule="auto"/>
        <w:jc w:val="right"/>
        <w:rPr>
          <w:rFonts w:ascii="Arial" w:hAnsi="Arial" w:cs="Arial"/>
          <w:b/>
        </w:rPr>
      </w:pPr>
      <w:r w:rsidRPr="00585666">
        <w:rPr>
          <w:rFonts w:ascii="Arial" w:hAnsi="Arial" w:cs="Arial"/>
          <w:b/>
        </w:rPr>
        <w:t xml:space="preserve">ALFONSO </w:t>
      </w:r>
      <w:r w:rsidR="0055015C">
        <w:rPr>
          <w:rFonts w:ascii="Arial" w:hAnsi="Arial" w:cs="Arial"/>
          <w:b/>
        </w:rPr>
        <w:t>D</w:t>
      </w:r>
      <w:r w:rsidRPr="00585666">
        <w:rPr>
          <w:rFonts w:ascii="Arial" w:hAnsi="Arial" w:cs="Arial"/>
          <w:b/>
        </w:rPr>
        <w:t>E JESÚS OROZCO ALDRETE</w:t>
      </w:r>
    </w:p>
    <w:p w14:paraId="699843BF" w14:textId="77777777" w:rsidR="007035BF" w:rsidRPr="00585666" w:rsidRDefault="007035BF" w:rsidP="007035BF">
      <w:pPr>
        <w:spacing w:after="0" w:line="240" w:lineRule="auto"/>
        <w:jc w:val="right"/>
        <w:rPr>
          <w:rFonts w:ascii="Arial" w:hAnsi="Arial" w:cs="Arial"/>
          <w:b/>
        </w:rPr>
      </w:pPr>
      <w:r w:rsidRPr="00585666">
        <w:rPr>
          <w:rFonts w:ascii="Arial" w:hAnsi="Arial" w:cs="Arial"/>
          <w:b/>
        </w:rPr>
        <w:t>REGIDOR</w:t>
      </w:r>
    </w:p>
    <w:p w14:paraId="116BDDCA" w14:textId="77777777" w:rsidR="007035BF" w:rsidRPr="00585666" w:rsidRDefault="007035BF" w:rsidP="007035BF">
      <w:pPr>
        <w:spacing w:after="0" w:line="240" w:lineRule="auto"/>
        <w:rPr>
          <w:rFonts w:ascii="Arial" w:hAnsi="Arial" w:cs="Arial"/>
          <w:b/>
        </w:rPr>
      </w:pPr>
    </w:p>
    <w:p w14:paraId="72285B55" w14:textId="337CC40F" w:rsidR="007035BF" w:rsidRPr="00AC4B9D" w:rsidRDefault="007035BF" w:rsidP="007035BF">
      <w:pPr>
        <w:spacing w:after="0" w:line="240" w:lineRule="auto"/>
        <w:rPr>
          <w:rFonts w:ascii="Arial" w:hAnsi="Arial" w:cs="Arial"/>
          <w:b/>
          <w:color w:val="FF0000"/>
        </w:rPr>
      </w:pPr>
    </w:p>
    <w:p w14:paraId="1144BAA0" w14:textId="77777777" w:rsidR="007035BF" w:rsidRPr="00585666" w:rsidRDefault="007035BF" w:rsidP="007035BF">
      <w:pPr>
        <w:spacing w:after="0" w:line="240" w:lineRule="auto"/>
        <w:rPr>
          <w:rFonts w:ascii="Arial" w:hAnsi="Arial" w:cs="Arial"/>
          <w:b/>
        </w:rPr>
      </w:pPr>
      <w:r w:rsidRPr="00585666">
        <w:rPr>
          <w:rFonts w:ascii="Arial" w:hAnsi="Arial" w:cs="Arial"/>
          <w:b/>
        </w:rPr>
        <w:t>VANESSA MONTES DE OCA MAYAGOITIA</w:t>
      </w:r>
    </w:p>
    <w:p w14:paraId="14B85196" w14:textId="77777777" w:rsidR="007035BF" w:rsidRPr="00585666" w:rsidRDefault="007035BF" w:rsidP="007035BF">
      <w:pPr>
        <w:spacing w:after="0" w:line="240" w:lineRule="auto"/>
        <w:rPr>
          <w:rFonts w:ascii="Arial" w:hAnsi="Arial" w:cs="Arial"/>
          <w:b/>
        </w:rPr>
      </w:pPr>
      <w:r w:rsidRPr="00585666">
        <w:rPr>
          <w:rFonts w:ascii="Arial" w:hAnsi="Arial" w:cs="Arial"/>
          <w:b/>
        </w:rPr>
        <w:t>REGIDORA</w:t>
      </w:r>
    </w:p>
    <w:p w14:paraId="7E1EA993" w14:textId="547A359C" w:rsidR="007035BF" w:rsidRPr="00AC4B9D" w:rsidRDefault="007035BF" w:rsidP="00AC4B9D">
      <w:pPr>
        <w:spacing w:after="0" w:line="240" w:lineRule="auto"/>
        <w:jc w:val="right"/>
        <w:rPr>
          <w:rFonts w:ascii="Arial" w:hAnsi="Arial" w:cs="Arial"/>
          <w:b/>
          <w:color w:val="FF0000"/>
        </w:rPr>
      </w:pPr>
    </w:p>
    <w:p w14:paraId="795C748B" w14:textId="77777777" w:rsidR="007035BF" w:rsidRPr="00585666" w:rsidRDefault="007035BF" w:rsidP="007035BF">
      <w:pPr>
        <w:spacing w:after="0" w:line="240" w:lineRule="auto"/>
        <w:jc w:val="right"/>
        <w:rPr>
          <w:rFonts w:ascii="Arial" w:hAnsi="Arial" w:cs="Arial"/>
          <w:b/>
        </w:rPr>
      </w:pPr>
      <w:r w:rsidRPr="00585666">
        <w:rPr>
          <w:rFonts w:ascii="Arial" w:hAnsi="Arial" w:cs="Arial"/>
          <w:b/>
        </w:rPr>
        <w:t>GABRIEL DURÁN ORTÍZ</w:t>
      </w:r>
    </w:p>
    <w:p w14:paraId="1363F9EF" w14:textId="20EC2FDF" w:rsidR="007035BF" w:rsidRPr="00585666" w:rsidRDefault="007035BF" w:rsidP="00857714">
      <w:pPr>
        <w:spacing w:after="0" w:line="240" w:lineRule="auto"/>
        <w:jc w:val="right"/>
        <w:rPr>
          <w:rFonts w:ascii="Arial" w:hAnsi="Arial" w:cs="Arial"/>
          <w:b/>
        </w:rPr>
      </w:pPr>
      <w:r w:rsidRPr="00585666">
        <w:rPr>
          <w:rFonts w:ascii="Arial" w:hAnsi="Arial" w:cs="Arial"/>
          <w:b/>
        </w:rPr>
        <w:t>REGIDOR</w:t>
      </w:r>
    </w:p>
    <w:p w14:paraId="72EAD9B9" w14:textId="77777777" w:rsidR="00AC4B9D" w:rsidRDefault="00AC4B9D" w:rsidP="00AC4B9D">
      <w:pPr>
        <w:spacing w:after="0" w:line="240" w:lineRule="auto"/>
        <w:rPr>
          <w:rFonts w:ascii="Arial" w:hAnsi="Arial" w:cs="Arial"/>
          <w:b/>
          <w:color w:val="FF0000"/>
        </w:rPr>
      </w:pPr>
    </w:p>
    <w:p w14:paraId="7D77F1F4" w14:textId="6F678A6B" w:rsidR="007035BF" w:rsidRPr="00AC4B9D" w:rsidRDefault="007035BF" w:rsidP="00AC4B9D">
      <w:pPr>
        <w:spacing w:after="0" w:line="240" w:lineRule="auto"/>
        <w:rPr>
          <w:rFonts w:ascii="Arial" w:hAnsi="Arial" w:cs="Arial"/>
          <w:b/>
          <w:color w:val="FF0000"/>
        </w:rPr>
      </w:pPr>
    </w:p>
    <w:p w14:paraId="7D8A1D51" w14:textId="77777777" w:rsidR="007035BF" w:rsidRPr="00585666" w:rsidRDefault="007035BF" w:rsidP="007035BF">
      <w:pPr>
        <w:spacing w:after="0" w:line="240" w:lineRule="auto"/>
        <w:rPr>
          <w:rFonts w:ascii="Arial" w:hAnsi="Arial" w:cs="Arial"/>
          <w:b/>
        </w:rPr>
      </w:pPr>
      <w:r w:rsidRPr="00585666">
        <w:rPr>
          <w:rFonts w:ascii="Arial" w:hAnsi="Arial" w:cs="Arial"/>
          <w:b/>
        </w:rPr>
        <w:t>FERNANDA ODETTE RENTERÍA MUÑOZ</w:t>
      </w:r>
    </w:p>
    <w:p w14:paraId="36939A0C" w14:textId="377BEE34" w:rsidR="007035BF" w:rsidRPr="00585666" w:rsidRDefault="007035BF" w:rsidP="007035BF">
      <w:pPr>
        <w:spacing w:after="0" w:line="240" w:lineRule="auto"/>
        <w:rPr>
          <w:rFonts w:ascii="Arial" w:hAnsi="Arial" w:cs="Arial"/>
          <w:b/>
        </w:rPr>
      </w:pPr>
      <w:r w:rsidRPr="00585666">
        <w:rPr>
          <w:rFonts w:ascii="Arial" w:hAnsi="Arial" w:cs="Arial"/>
          <w:b/>
        </w:rPr>
        <w:t>REGIDORA</w:t>
      </w:r>
    </w:p>
    <w:p w14:paraId="1365AFBA" w14:textId="77777777" w:rsidR="00857714" w:rsidRPr="00585666" w:rsidRDefault="00857714" w:rsidP="00857714">
      <w:pPr>
        <w:spacing w:after="0" w:line="240" w:lineRule="auto"/>
        <w:jc w:val="right"/>
        <w:rPr>
          <w:rFonts w:ascii="Arial" w:hAnsi="Arial" w:cs="Arial"/>
          <w:b/>
        </w:rPr>
      </w:pPr>
    </w:p>
    <w:p w14:paraId="5D59A403" w14:textId="06DE08FF" w:rsidR="00857714" w:rsidRPr="00585666" w:rsidRDefault="00857714" w:rsidP="00857714">
      <w:pPr>
        <w:spacing w:after="0" w:line="240" w:lineRule="auto"/>
        <w:jc w:val="right"/>
        <w:rPr>
          <w:rFonts w:ascii="Arial" w:hAnsi="Arial" w:cs="Arial"/>
          <w:b/>
        </w:rPr>
      </w:pPr>
    </w:p>
    <w:p w14:paraId="0F0BE1A0" w14:textId="72362886" w:rsidR="00857714" w:rsidRPr="00AC4B9D" w:rsidRDefault="00857714" w:rsidP="00857714">
      <w:pPr>
        <w:spacing w:after="0" w:line="240" w:lineRule="auto"/>
        <w:jc w:val="right"/>
        <w:rPr>
          <w:rFonts w:ascii="Arial" w:hAnsi="Arial" w:cs="Arial"/>
          <w:b/>
          <w:color w:val="FF0000"/>
        </w:rPr>
      </w:pPr>
    </w:p>
    <w:p w14:paraId="286E0501" w14:textId="7DCDC84B" w:rsidR="00857714" w:rsidRPr="00585666" w:rsidRDefault="00857714" w:rsidP="00857714">
      <w:pPr>
        <w:spacing w:after="0" w:line="240" w:lineRule="auto"/>
        <w:jc w:val="right"/>
        <w:rPr>
          <w:rFonts w:ascii="Arial" w:hAnsi="Arial" w:cs="Arial"/>
          <w:b/>
        </w:rPr>
      </w:pPr>
      <w:r w:rsidRPr="00585666">
        <w:rPr>
          <w:rFonts w:ascii="Arial" w:hAnsi="Arial" w:cs="Arial"/>
          <w:b/>
        </w:rPr>
        <w:t>GABRIEL</w:t>
      </w:r>
      <w:r w:rsidR="00AC4B9D">
        <w:rPr>
          <w:rFonts w:ascii="Arial" w:hAnsi="Arial" w:cs="Arial"/>
          <w:b/>
        </w:rPr>
        <w:t>A</w:t>
      </w:r>
      <w:r w:rsidRPr="00585666">
        <w:rPr>
          <w:rFonts w:ascii="Arial" w:hAnsi="Arial" w:cs="Arial"/>
          <w:b/>
        </w:rPr>
        <w:t xml:space="preserve"> DEL CARMEN ECHEVERR</w:t>
      </w:r>
      <w:r w:rsidR="0055015C">
        <w:rPr>
          <w:rFonts w:ascii="Arial" w:hAnsi="Arial" w:cs="Arial"/>
          <w:b/>
        </w:rPr>
        <w:t>Í</w:t>
      </w:r>
      <w:r w:rsidRPr="00585666">
        <w:rPr>
          <w:rFonts w:ascii="Arial" w:hAnsi="Arial" w:cs="Arial"/>
          <w:b/>
        </w:rPr>
        <w:t>A GONZÁLEZ</w:t>
      </w:r>
    </w:p>
    <w:p w14:paraId="42F33250" w14:textId="77777777" w:rsidR="00857714" w:rsidRPr="00585666" w:rsidRDefault="00857714" w:rsidP="00857714">
      <w:pPr>
        <w:spacing w:after="0" w:line="240" w:lineRule="auto"/>
        <w:jc w:val="right"/>
        <w:rPr>
          <w:rFonts w:ascii="Arial" w:hAnsi="Arial" w:cs="Arial"/>
          <w:b/>
        </w:rPr>
      </w:pPr>
      <w:r w:rsidRPr="00585666">
        <w:rPr>
          <w:rFonts w:ascii="Arial" w:hAnsi="Arial" w:cs="Arial"/>
          <w:b/>
        </w:rPr>
        <w:t>REGIDORA</w:t>
      </w:r>
    </w:p>
    <w:p w14:paraId="55B95B5F" w14:textId="77777777" w:rsidR="00857714" w:rsidRPr="00585666" w:rsidRDefault="00857714" w:rsidP="00857714">
      <w:pPr>
        <w:spacing w:after="0" w:line="240" w:lineRule="auto"/>
        <w:jc w:val="right"/>
        <w:rPr>
          <w:rFonts w:ascii="Arial" w:hAnsi="Arial" w:cs="Arial"/>
          <w:b/>
        </w:rPr>
      </w:pPr>
    </w:p>
    <w:p w14:paraId="278A218E" w14:textId="79361308" w:rsidR="00D85069" w:rsidRPr="00585666" w:rsidRDefault="00D85069" w:rsidP="007035BF">
      <w:pPr>
        <w:spacing w:after="0" w:line="240" w:lineRule="auto"/>
        <w:rPr>
          <w:rFonts w:ascii="Arial" w:eastAsia="Times New Roman" w:hAnsi="Arial" w:cs="Arial"/>
          <w:b/>
          <w:lang w:val="pt-BR" w:eastAsia="es-ES"/>
        </w:rPr>
      </w:pPr>
    </w:p>
    <w:p w14:paraId="2A8520EE" w14:textId="504D0A39" w:rsidR="00D85069" w:rsidRPr="00585666" w:rsidRDefault="00D85069" w:rsidP="007035BF">
      <w:pPr>
        <w:spacing w:after="0" w:line="240" w:lineRule="auto"/>
        <w:rPr>
          <w:rFonts w:ascii="Arial" w:eastAsia="Times New Roman" w:hAnsi="Arial" w:cs="Arial"/>
          <w:b/>
          <w:lang w:val="pt-BR" w:eastAsia="es-ES"/>
        </w:rPr>
      </w:pPr>
    </w:p>
    <w:p w14:paraId="53253F45" w14:textId="0F6FABA7" w:rsidR="007035BF" w:rsidRDefault="007035BF" w:rsidP="007035BF">
      <w:pPr>
        <w:spacing w:after="0" w:line="240" w:lineRule="auto"/>
        <w:rPr>
          <w:rFonts w:ascii="Arial" w:hAnsi="Arial" w:cs="Arial"/>
          <w:strike/>
        </w:rPr>
      </w:pPr>
    </w:p>
    <w:p w14:paraId="4A18D639" w14:textId="35DF1728" w:rsidR="00B0181B" w:rsidRDefault="00B0181B" w:rsidP="007035BF">
      <w:pPr>
        <w:spacing w:after="0" w:line="240" w:lineRule="auto"/>
        <w:rPr>
          <w:rFonts w:ascii="Arial" w:hAnsi="Arial" w:cs="Arial"/>
          <w:strike/>
        </w:rPr>
      </w:pPr>
    </w:p>
    <w:p w14:paraId="4A883A30" w14:textId="672D296A" w:rsidR="00B0181B" w:rsidRDefault="00B0181B" w:rsidP="007035BF">
      <w:pPr>
        <w:spacing w:after="0" w:line="240" w:lineRule="auto"/>
        <w:rPr>
          <w:rFonts w:ascii="Arial" w:hAnsi="Arial" w:cs="Arial"/>
          <w:strike/>
        </w:rPr>
      </w:pPr>
    </w:p>
    <w:p w14:paraId="4A9AA984" w14:textId="2A65F6E9" w:rsidR="00B0181B" w:rsidRDefault="00B0181B" w:rsidP="007035BF">
      <w:pPr>
        <w:spacing w:after="0" w:line="240" w:lineRule="auto"/>
        <w:rPr>
          <w:rFonts w:ascii="Arial" w:hAnsi="Arial" w:cs="Arial"/>
          <w:strike/>
        </w:rPr>
      </w:pPr>
    </w:p>
    <w:p w14:paraId="24BE06D6" w14:textId="29191071" w:rsidR="00B0181B" w:rsidRDefault="00B0181B" w:rsidP="007035BF">
      <w:pPr>
        <w:spacing w:after="0" w:line="240" w:lineRule="auto"/>
        <w:rPr>
          <w:rFonts w:ascii="Arial" w:hAnsi="Arial" w:cs="Arial"/>
          <w:strike/>
        </w:rPr>
      </w:pPr>
    </w:p>
    <w:p w14:paraId="41988A94" w14:textId="14092D34" w:rsidR="00B0181B" w:rsidRDefault="00B0181B" w:rsidP="007035BF">
      <w:pPr>
        <w:spacing w:after="0" w:line="240" w:lineRule="auto"/>
        <w:rPr>
          <w:rFonts w:ascii="Arial" w:hAnsi="Arial" w:cs="Arial"/>
          <w:strike/>
        </w:rPr>
      </w:pPr>
    </w:p>
    <w:p w14:paraId="3F17EAC6" w14:textId="77777777" w:rsidR="00B0181B" w:rsidRPr="00585666" w:rsidRDefault="00B0181B" w:rsidP="007035BF">
      <w:pPr>
        <w:spacing w:after="0" w:line="240" w:lineRule="auto"/>
        <w:rPr>
          <w:rFonts w:ascii="Arial" w:hAnsi="Arial" w:cs="Arial"/>
          <w:strike/>
        </w:rPr>
      </w:pPr>
    </w:p>
    <w:p w14:paraId="56F91A59" w14:textId="2882DECC" w:rsidR="007035BF" w:rsidRPr="00585666" w:rsidRDefault="007035BF" w:rsidP="007035BF">
      <w:pPr>
        <w:spacing w:after="0" w:line="240" w:lineRule="auto"/>
        <w:ind w:right="130"/>
        <w:jc w:val="center"/>
        <w:rPr>
          <w:rFonts w:ascii="Arial" w:eastAsia="Arial" w:hAnsi="Arial" w:cs="Arial"/>
          <w:b/>
          <w:lang w:eastAsia="es-MX"/>
        </w:rPr>
      </w:pPr>
      <w:r w:rsidRPr="00585666">
        <w:rPr>
          <w:rFonts w:ascii="Arial" w:eastAsia="Arial" w:hAnsi="Arial" w:cs="Arial"/>
          <w:b/>
          <w:lang w:eastAsia="es-MX"/>
        </w:rPr>
        <w:t>ANEXO ÚNICO</w:t>
      </w:r>
    </w:p>
    <w:p w14:paraId="3FAA09DB" w14:textId="77777777" w:rsidR="00FA66BD" w:rsidRPr="00585666" w:rsidRDefault="00FA66BD" w:rsidP="007035BF">
      <w:pPr>
        <w:spacing w:after="0" w:line="240" w:lineRule="auto"/>
        <w:ind w:right="130"/>
        <w:jc w:val="center"/>
        <w:rPr>
          <w:rFonts w:ascii="Arial" w:eastAsia="Arial" w:hAnsi="Arial" w:cs="Arial"/>
          <w:b/>
          <w:lang w:eastAsia="es-MX"/>
        </w:rPr>
      </w:pPr>
    </w:p>
    <w:p w14:paraId="7240F710" w14:textId="13968154" w:rsidR="00062300" w:rsidRPr="00585666" w:rsidRDefault="00062300" w:rsidP="00062300">
      <w:pPr>
        <w:spacing w:after="0" w:line="240" w:lineRule="auto"/>
        <w:ind w:right="130"/>
        <w:jc w:val="center"/>
        <w:rPr>
          <w:rFonts w:ascii="Arial" w:eastAsia="Arial" w:hAnsi="Arial" w:cs="Arial"/>
          <w:b/>
          <w:lang w:eastAsia="es-MX"/>
        </w:rPr>
      </w:pPr>
      <w:r w:rsidRPr="00585666">
        <w:rPr>
          <w:rFonts w:ascii="Arial" w:hAnsi="Arial" w:cs="Arial"/>
          <w:b/>
        </w:rPr>
        <w:t>INICIATIVA DE</w:t>
      </w:r>
      <w:r w:rsidRPr="00585666">
        <w:rPr>
          <w:rFonts w:ascii="Arial" w:eastAsia="Arial" w:hAnsi="Arial" w:cs="Arial"/>
          <w:b/>
          <w:lang w:eastAsia="es-MX"/>
        </w:rPr>
        <w:t xml:space="preserve"> </w:t>
      </w:r>
      <w:r w:rsidRPr="00585666">
        <w:rPr>
          <w:rFonts w:ascii="Arial" w:hAnsi="Arial" w:cs="Arial"/>
          <w:b/>
        </w:rPr>
        <w:t>REFORMAS</w:t>
      </w:r>
      <w:r w:rsidRPr="00585666">
        <w:rPr>
          <w:rFonts w:ascii="Arial" w:eastAsia="Arial" w:hAnsi="Arial" w:cs="Arial"/>
          <w:b/>
          <w:lang w:eastAsia="es-MX"/>
        </w:rPr>
        <w:t xml:space="preserve"> Y </w:t>
      </w:r>
      <w:r w:rsidRPr="00585666">
        <w:rPr>
          <w:rFonts w:ascii="Arial" w:hAnsi="Arial" w:cs="Arial"/>
          <w:b/>
        </w:rPr>
        <w:t>ADICIONES A LA LEY DE RESPONSABILIDADES ADMINISTRATIVAS PARA EL ESTADO DE GUANAJUATO</w:t>
      </w:r>
    </w:p>
    <w:p w14:paraId="415318EC" w14:textId="77777777" w:rsidR="00062300" w:rsidRPr="00585666" w:rsidRDefault="00062300" w:rsidP="00062300">
      <w:pPr>
        <w:spacing w:after="0" w:line="240" w:lineRule="auto"/>
        <w:jc w:val="center"/>
        <w:rPr>
          <w:rFonts w:ascii="Arial" w:eastAsia="Arial" w:hAnsi="Arial" w:cs="Arial"/>
          <w:b/>
          <w:lang w:eastAsia="es-MX"/>
        </w:rPr>
      </w:pPr>
    </w:p>
    <w:p w14:paraId="2BEFF62B" w14:textId="77777777" w:rsidR="00062300" w:rsidRPr="00585666" w:rsidRDefault="00062300" w:rsidP="00062300">
      <w:pPr>
        <w:spacing w:after="0" w:line="240" w:lineRule="auto"/>
        <w:rPr>
          <w:rFonts w:ascii="Arial" w:eastAsia="Arial" w:hAnsi="Arial" w:cs="Arial"/>
          <w:b/>
          <w:lang w:eastAsia="es-MX"/>
        </w:rPr>
      </w:pPr>
    </w:p>
    <w:p w14:paraId="2FC3A0B2" w14:textId="77777777" w:rsidR="00062300" w:rsidRPr="00585666" w:rsidRDefault="00062300" w:rsidP="00062300">
      <w:pPr>
        <w:spacing w:after="0" w:line="240" w:lineRule="auto"/>
        <w:jc w:val="center"/>
        <w:rPr>
          <w:rFonts w:ascii="Arial" w:hAnsi="Arial" w:cs="Arial"/>
          <w:b/>
        </w:rPr>
      </w:pPr>
      <w:r w:rsidRPr="00585666">
        <w:rPr>
          <w:rFonts w:ascii="Arial" w:hAnsi="Arial" w:cs="Arial"/>
          <w:b/>
        </w:rPr>
        <w:t>EXPOSICIÓN DE MOTIVOS</w:t>
      </w:r>
    </w:p>
    <w:p w14:paraId="7EF894AB" w14:textId="77777777" w:rsidR="00062300" w:rsidRPr="00585666" w:rsidRDefault="00062300" w:rsidP="00062300">
      <w:pPr>
        <w:spacing w:after="0" w:line="240" w:lineRule="auto"/>
        <w:jc w:val="both"/>
        <w:rPr>
          <w:rFonts w:ascii="Arial" w:hAnsi="Arial" w:cs="Arial"/>
          <w:b/>
        </w:rPr>
      </w:pPr>
    </w:p>
    <w:p w14:paraId="216C5351" w14:textId="48A403A8" w:rsidR="00062300" w:rsidRPr="00585666" w:rsidRDefault="00062300" w:rsidP="00062300">
      <w:pPr>
        <w:pStyle w:val="Sinespaciado"/>
        <w:rPr>
          <w:sz w:val="22"/>
          <w:lang w:eastAsia="es-ES"/>
        </w:rPr>
      </w:pPr>
      <w:r w:rsidRPr="00585666">
        <w:rPr>
          <w:sz w:val="22"/>
          <w:lang w:eastAsia="es-ES"/>
        </w:rPr>
        <w:t xml:space="preserve">La violencia laboral o violencia en el lugar de trabajo es un fenómeno que afecta tanto a hombres como a mujeres en sus puestos de trabajo. Cuando el clima laboral se ve alterado por situaciones de violencia laboral, hostigamiento y acoso sexual, la consecuencia es un ambiente conflictivo, agresivo y apático por parte del personal, así como una baja productividad y un deficiente desempeño laboral. Todo ello limita a su vez el desarrollo integral de las personas, ya que se ve afectada no solamente su vida laboral sino todos los ámbitos en que se desenvuelven. </w:t>
      </w:r>
    </w:p>
    <w:p w14:paraId="53C5132E" w14:textId="77777777" w:rsidR="00062300" w:rsidRPr="00585666" w:rsidRDefault="00062300" w:rsidP="00062300">
      <w:pPr>
        <w:pStyle w:val="Sinespaciado"/>
        <w:rPr>
          <w:sz w:val="22"/>
          <w:lang w:eastAsia="es-ES"/>
        </w:rPr>
      </w:pPr>
    </w:p>
    <w:p w14:paraId="4A7DB3DC" w14:textId="1089DAC7" w:rsidR="00062300" w:rsidRPr="00585666" w:rsidRDefault="00062300" w:rsidP="00062300">
      <w:pPr>
        <w:pStyle w:val="Sinespaciado"/>
        <w:rPr>
          <w:sz w:val="22"/>
          <w:lang w:eastAsia="es-ES"/>
        </w:rPr>
      </w:pPr>
      <w:r w:rsidRPr="00585666">
        <w:rPr>
          <w:sz w:val="22"/>
          <w:lang w:eastAsia="es-ES"/>
        </w:rPr>
        <w:t>Cabe hacer mención, que a</w:t>
      </w:r>
      <w:r w:rsidR="00BD5A27" w:rsidRPr="00585666">
        <w:rPr>
          <w:sz w:val="22"/>
          <w:lang w:eastAsia="es-ES"/>
        </w:rPr>
        <w:t xml:space="preserve"> l</w:t>
      </w:r>
      <w:r w:rsidRPr="00585666">
        <w:rPr>
          <w:sz w:val="22"/>
          <w:lang w:eastAsia="es-ES"/>
        </w:rPr>
        <w:t xml:space="preserve">a violencia laboral se le ha concebido con el transcurso del tiempo como una violación sistemática de los Derechos Humanos, que ha provocado diversas actualizaciones constitucionales y normativas; tal es el caso de la reforma al artículo primero constitucional en materia de derechos humanos del año dos mil once, que representó un cambio de paradigma en la manera de concebir los derechos inherentes a la persona, reconociendo los contenidos en los tratados internacionales suscritos por México. </w:t>
      </w:r>
    </w:p>
    <w:p w14:paraId="5369EB31" w14:textId="77777777" w:rsidR="00062300" w:rsidRPr="00585666" w:rsidRDefault="00062300" w:rsidP="00062300">
      <w:pPr>
        <w:pStyle w:val="Sinespaciado"/>
        <w:rPr>
          <w:sz w:val="22"/>
          <w:lang w:eastAsia="es-ES"/>
        </w:rPr>
      </w:pPr>
    </w:p>
    <w:p w14:paraId="2170A2B3" w14:textId="77777777" w:rsidR="00062300" w:rsidRPr="00585666" w:rsidRDefault="00062300" w:rsidP="00062300">
      <w:pPr>
        <w:pStyle w:val="Sinespaciado"/>
        <w:rPr>
          <w:sz w:val="22"/>
          <w:lang w:eastAsia="es-ES"/>
        </w:rPr>
      </w:pPr>
      <w:r w:rsidRPr="00585666">
        <w:rPr>
          <w:sz w:val="22"/>
          <w:lang w:eastAsia="es-ES"/>
        </w:rPr>
        <w:t>Además, esta reforma considera que el Estado así como las personas servidoras públicas que en él laboran son las primeras y principales obligadas en cuanto al cumplimiento de las normas y disposiciones de derechos humanos, previstos tanto en su derecho interno como en el internacional que le es vinculante, con la finalidad de garantizar de manera efectiva el respeto y protección del derecho a la igualdad y no discriminación, y dar cumplimiento a la obligación de toda autoridad de proteger, promover, respetar y garantizar los derechos humanos, sancionando y reparando las violaciones a los mismos.</w:t>
      </w:r>
    </w:p>
    <w:p w14:paraId="791E7614" w14:textId="77777777" w:rsidR="00062300" w:rsidRPr="00585666" w:rsidRDefault="00062300" w:rsidP="00062300">
      <w:pPr>
        <w:pStyle w:val="Sinespaciado"/>
        <w:rPr>
          <w:sz w:val="22"/>
          <w:lang w:eastAsia="es-ES"/>
        </w:rPr>
      </w:pPr>
    </w:p>
    <w:p w14:paraId="20A4E14B" w14:textId="4F0CC8D5" w:rsidR="00062300" w:rsidRPr="00585666" w:rsidRDefault="00062300" w:rsidP="00062300">
      <w:pPr>
        <w:pStyle w:val="Sinespaciado"/>
        <w:rPr>
          <w:sz w:val="22"/>
          <w:lang w:eastAsia="es-ES"/>
        </w:rPr>
      </w:pPr>
      <w:r w:rsidRPr="00585666">
        <w:rPr>
          <w:sz w:val="22"/>
          <w:lang w:eastAsia="es-ES"/>
        </w:rPr>
        <w:t xml:space="preserve">En ese tenor, la Declaración Universal de los Derechos Humanos en su preámbulo proclama que la libertad, la justicia y la paz en el mundo tienen por base el reconocimiento de la dignidad intrínseca y de los derechos iguales e inalienables de todos los miembros de la familia humana; por eso la violencia es un atentado a la dignidad porque coarta la libertad, transgrede la justicia y quebranta la paz social, porque constituye un obstáculo para el aumento del bienestar de la sociedad y de la familia. </w:t>
      </w:r>
    </w:p>
    <w:p w14:paraId="7063AFD1" w14:textId="77777777" w:rsidR="00062300" w:rsidRPr="00585666" w:rsidRDefault="00062300" w:rsidP="00F44085">
      <w:pPr>
        <w:pStyle w:val="Sinespaciado"/>
        <w:ind w:left="0" w:firstLine="0"/>
        <w:rPr>
          <w:sz w:val="22"/>
          <w:lang w:eastAsia="es-ES"/>
        </w:rPr>
      </w:pPr>
    </w:p>
    <w:p w14:paraId="3B5CE042" w14:textId="57D0C4C3" w:rsidR="00062300" w:rsidRPr="00585666" w:rsidRDefault="00062300" w:rsidP="00062300">
      <w:pPr>
        <w:pStyle w:val="Sinespaciado"/>
        <w:rPr>
          <w:sz w:val="22"/>
          <w:lang w:eastAsia="es-ES"/>
        </w:rPr>
      </w:pPr>
      <w:r w:rsidRPr="00585666">
        <w:rPr>
          <w:sz w:val="22"/>
          <w:lang w:eastAsia="es-ES"/>
        </w:rPr>
        <w:t xml:space="preserve">En el ámbito internacional y específicamente para el caso de los derechos humanos de las mujeres, existen tratados que señalan las obligaciones que tienen los Estados Parte para que las mujeres ejerzan sus derechos plenamente en igualdad de condiciones con los hombres, desde Naciones Unidas tenemos la Convención sobre la Eliminación de todas las formas de Discriminación contra la mujer (CEDAW) y surgida desde la Organización de los Estados Americanos (OEA) está la Convención Interamericana para Prevenir, Sancionar y Erradicar la </w:t>
      </w:r>
      <w:r w:rsidRPr="00585666">
        <w:rPr>
          <w:sz w:val="22"/>
          <w:lang w:eastAsia="es-ES"/>
        </w:rPr>
        <w:lastRenderedPageBreak/>
        <w:t xml:space="preserve">Violencia contra la Mujer, también conocida como Belém Do Pará, ambas suscritas por nuestro país, por lo que su contenido es vinculante para todas las autoridades mexicanas. </w:t>
      </w:r>
    </w:p>
    <w:p w14:paraId="0736B3B5" w14:textId="77777777" w:rsidR="00F87686" w:rsidRPr="00585666" w:rsidRDefault="00F87686" w:rsidP="00062300">
      <w:pPr>
        <w:pStyle w:val="Sinespaciado"/>
        <w:rPr>
          <w:sz w:val="22"/>
          <w:lang w:eastAsia="es-ES"/>
        </w:rPr>
      </w:pPr>
    </w:p>
    <w:p w14:paraId="2FE5D64F" w14:textId="77777777" w:rsidR="00062300" w:rsidRPr="00585666" w:rsidRDefault="00062300" w:rsidP="00B13632">
      <w:pPr>
        <w:pStyle w:val="Sinespaciado"/>
        <w:ind w:left="0" w:firstLine="0"/>
        <w:rPr>
          <w:sz w:val="22"/>
          <w:lang w:eastAsia="es-ES"/>
        </w:rPr>
      </w:pPr>
    </w:p>
    <w:p w14:paraId="1F5B5464" w14:textId="538B04B9" w:rsidR="00062300" w:rsidRPr="00585666" w:rsidRDefault="00442257" w:rsidP="00062300">
      <w:pPr>
        <w:pStyle w:val="Sinespaciado"/>
        <w:rPr>
          <w:sz w:val="22"/>
          <w:lang w:eastAsia="es-ES"/>
        </w:rPr>
      </w:pPr>
      <w:r w:rsidRPr="00585666">
        <w:rPr>
          <w:sz w:val="22"/>
          <w:lang w:eastAsia="es-ES"/>
        </w:rPr>
        <w:t xml:space="preserve">A nivel </w:t>
      </w:r>
      <w:r w:rsidR="005C79D1">
        <w:rPr>
          <w:sz w:val="22"/>
          <w:lang w:eastAsia="es-ES"/>
        </w:rPr>
        <w:t>nacional</w:t>
      </w:r>
      <w:r w:rsidR="00062300" w:rsidRPr="00585666">
        <w:rPr>
          <w:sz w:val="22"/>
          <w:lang w:eastAsia="es-ES"/>
        </w:rPr>
        <w:t xml:space="preserve">, </w:t>
      </w:r>
      <w:bookmarkStart w:id="2" w:name="_Hlk62931941"/>
      <w:r w:rsidR="00062300" w:rsidRPr="00585666">
        <w:rPr>
          <w:sz w:val="22"/>
          <w:lang w:eastAsia="es-ES"/>
        </w:rPr>
        <w:t xml:space="preserve">la Ley General de Acceso de las Mujeres a una Vida Libre de Violencia (LGAMVLV) </w:t>
      </w:r>
      <w:bookmarkEnd w:id="2"/>
      <w:r w:rsidR="00062300" w:rsidRPr="00585666">
        <w:rPr>
          <w:sz w:val="22"/>
          <w:lang w:eastAsia="es-ES"/>
        </w:rPr>
        <w:t>contempla el hostigamiento y acoso sexual como una forma de violencia de género </w:t>
      </w:r>
      <w:r w:rsidR="00062300" w:rsidRPr="00585666">
        <w:rPr>
          <w:i/>
          <w:iCs/>
          <w:sz w:val="22"/>
          <w:lang w:eastAsia="es-ES"/>
        </w:rPr>
        <w:t>en contra de las mujeres</w:t>
      </w:r>
      <w:r w:rsidR="005F1273">
        <w:rPr>
          <w:sz w:val="22"/>
          <w:lang w:eastAsia="es-ES"/>
        </w:rPr>
        <w:t xml:space="preserve"> y de igual manera incluye a estas conductas dentro de</w:t>
      </w:r>
      <w:r w:rsidR="00062300" w:rsidRPr="00585666">
        <w:rPr>
          <w:sz w:val="22"/>
          <w:lang w:eastAsia="es-ES"/>
        </w:rPr>
        <w:t xml:space="preserve"> la violencia laboral y docente</w:t>
      </w:r>
      <w:r w:rsidR="005F1273">
        <w:rPr>
          <w:sz w:val="22"/>
          <w:lang w:eastAsia="es-ES"/>
        </w:rPr>
        <w:t>,</w:t>
      </w:r>
      <w:r w:rsidR="00062300" w:rsidRPr="00585666">
        <w:rPr>
          <w:sz w:val="22"/>
          <w:lang w:eastAsia="es-ES"/>
        </w:rPr>
        <w:t xml:space="preserve"> s</w:t>
      </w:r>
      <w:r w:rsidR="005F1273">
        <w:rPr>
          <w:sz w:val="22"/>
          <w:lang w:eastAsia="es-ES"/>
        </w:rPr>
        <w:t>iendo esta ejercida</w:t>
      </w:r>
      <w:r w:rsidR="00062300" w:rsidRPr="00585666">
        <w:rPr>
          <w:sz w:val="22"/>
          <w:lang w:eastAsia="es-ES"/>
        </w:rPr>
        <w:t xml:space="preserve"> por las personas que tienen un vínculo laboral, docente o análogo con la víctima, independientemente de la relación jerárquica, consistente en un acto o una omisión en abuso de poder que daña la autoestima, salud, integridad, libertad y seguridad de la víctima, e impide su desarrollo y atenta con la igualdad. Se enfatiza el vínculo laboral con independencia de dónde ocurran los actos, aunque con frecuencia ocurren en el espacio laboral.</w:t>
      </w:r>
    </w:p>
    <w:p w14:paraId="0DC142F1" w14:textId="77777777" w:rsidR="00062300" w:rsidRPr="00585666" w:rsidRDefault="00062300" w:rsidP="00062300">
      <w:pPr>
        <w:pStyle w:val="Sinespaciado"/>
        <w:rPr>
          <w:sz w:val="22"/>
          <w:lang w:eastAsia="es-ES"/>
        </w:rPr>
      </w:pPr>
    </w:p>
    <w:p w14:paraId="4A31DD62" w14:textId="77777777" w:rsidR="00062300" w:rsidRPr="00585666" w:rsidRDefault="00062300" w:rsidP="00062300">
      <w:pPr>
        <w:pStyle w:val="Sinespaciado"/>
        <w:rPr>
          <w:sz w:val="22"/>
          <w:lang w:eastAsia="es-ES"/>
        </w:rPr>
      </w:pPr>
      <w:r w:rsidRPr="00585666">
        <w:rPr>
          <w:sz w:val="22"/>
          <w:lang w:eastAsia="es-ES"/>
        </w:rPr>
        <w:t>Es importante resaltar, que en el supuesto mencionado en el párrafo anterior relativa a la violencia laboral, la SCJN afirma que, según lo prescrito en la Constitución Política de los Estados Unidos Mexicanos, en los diferentes instrumentos internacionales y en lo que hasta ahora ha desarrollado el legislador nacional, el acoso laboral se presenta en tres niveles, según quién adopte el papel de sujeto activo:</w:t>
      </w:r>
    </w:p>
    <w:p w14:paraId="7606DD87" w14:textId="77777777" w:rsidR="00062300" w:rsidRPr="00585666" w:rsidRDefault="00062300" w:rsidP="00062300">
      <w:pPr>
        <w:pStyle w:val="Sinespaciado"/>
        <w:rPr>
          <w:sz w:val="22"/>
          <w:lang w:eastAsia="es-ES"/>
        </w:rPr>
      </w:pPr>
    </w:p>
    <w:p w14:paraId="006D7796" w14:textId="77777777" w:rsidR="00062300" w:rsidRPr="00585666" w:rsidRDefault="00062300" w:rsidP="00062300">
      <w:pPr>
        <w:pStyle w:val="Sinespaciado"/>
        <w:numPr>
          <w:ilvl w:val="0"/>
          <w:numId w:val="2"/>
        </w:numPr>
        <w:rPr>
          <w:sz w:val="22"/>
          <w:lang w:eastAsia="es-ES"/>
        </w:rPr>
      </w:pPr>
      <w:r w:rsidRPr="00585666">
        <w:rPr>
          <w:sz w:val="22"/>
          <w:lang w:eastAsia="es-ES"/>
        </w:rPr>
        <w:t>Horizontal. Cuando la agresividad o el hostigamiento laboral se realiza entre compañeros del ambiente del trabajo, es decir, activo y pasivo ocupan un nivel similar en la jerarquía ocupacional.</w:t>
      </w:r>
    </w:p>
    <w:p w14:paraId="02916C92" w14:textId="77777777" w:rsidR="00062300" w:rsidRPr="00585666" w:rsidRDefault="00062300" w:rsidP="00062300">
      <w:pPr>
        <w:pStyle w:val="Sinespaciado"/>
        <w:numPr>
          <w:ilvl w:val="0"/>
          <w:numId w:val="2"/>
        </w:numPr>
        <w:rPr>
          <w:sz w:val="22"/>
          <w:lang w:eastAsia="es-ES"/>
        </w:rPr>
      </w:pPr>
      <w:r w:rsidRPr="00585666">
        <w:rPr>
          <w:sz w:val="22"/>
          <w:lang w:eastAsia="es-ES"/>
        </w:rPr>
        <w:t>Vertical descendente. Sucede cuando la agresividad o el hostigamiento laboral se realiza entre quienes ocupan puestos de jerarquía o superioridad respecto de la víctima.</w:t>
      </w:r>
    </w:p>
    <w:p w14:paraId="1FFEBD90" w14:textId="77777777" w:rsidR="00062300" w:rsidRPr="00585666" w:rsidRDefault="00062300" w:rsidP="00062300">
      <w:pPr>
        <w:pStyle w:val="Sinespaciado"/>
        <w:numPr>
          <w:ilvl w:val="0"/>
          <w:numId w:val="2"/>
        </w:numPr>
        <w:rPr>
          <w:sz w:val="22"/>
          <w:lang w:eastAsia="es-ES"/>
        </w:rPr>
      </w:pPr>
      <w:r w:rsidRPr="00585666">
        <w:rPr>
          <w:sz w:val="22"/>
          <w:lang w:eastAsia="es-ES"/>
        </w:rPr>
        <w:t>Vertical ascendente. Ocurre con menor frecuencia y se refiere al hostigamiento laboral que se realiza entre quienes ocupan puestos subalternos respecto del jefe victimizado.</w:t>
      </w:r>
    </w:p>
    <w:p w14:paraId="0ABAF5D9" w14:textId="77777777" w:rsidR="00062300" w:rsidRPr="00585666" w:rsidRDefault="00062300" w:rsidP="00062300">
      <w:pPr>
        <w:pStyle w:val="Sinespaciado"/>
        <w:rPr>
          <w:sz w:val="22"/>
          <w:lang w:eastAsia="es-ES"/>
        </w:rPr>
      </w:pPr>
    </w:p>
    <w:p w14:paraId="41763753" w14:textId="77777777" w:rsidR="00062300" w:rsidRPr="00585666" w:rsidRDefault="00062300" w:rsidP="00062300">
      <w:pPr>
        <w:pStyle w:val="Sinespaciado"/>
        <w:rPr>
          <w:sz w:val="22"/>
          <w:lang w:eastAsia="es-ES"/>
        </w:rPr>
      </w:pPr>
      <w:r w:rsidRPr="00585666">
        <w:rPr>
          <w:sz w:val="22"/>
          <w:lang w:eastAsia="es-ES"/>
        </w:rPr>
        <w:t>La Ley General de Acceso de las Mujeres a una Vida Libre de Violencia (LGAMVLV)  aborda específicamente el hostigamiento y acoso sexual al definir el hostigamiento sexual como “el ejercicio del poder en una relación de subordinación real de la víctima frente al agresor en los ámbitos laboral y/o escolar. Se expresa en conductas verbales, físicas o ambas, relacionadas con la sexualidad de connotación lasciva”. Y el acoso sexual como una forma de violencia en la que, si bien no existe la subordinación, hay un ejercicio abusivo de poder que conlleva a un estado de indefensión y de riesgo para la víctima, independientemente de que se realice en uno o varios eventos.</w:t>
      </w:r>
    </w:p>
    <w:p w14:paraId="6F3530CC" w14:textId="77777777" w:rsidR="00062300" w:rsidRPr="00585666" w:rsidRDefault="00062300">
      <w:pPr>
        <w:pStyle w:val="Sinespaciado"/>
        <w:rPr>
          <w:sz w:val="22"/>
          <w:lang w:eastAsia="es-ES"/>
        </w:rPr>
      </w:pPr>
    </w:p>
    <w:p w14:paraId="669DE8C2" w14:textId="358B371C" w:rsidR="00062300" w:rsidRPr="00585666" w:rsidRDefault="00062300">
      <w:pPr>
        <w:pStyle w:val="Sinespaciado"/>
        <w:rPr>
          <w:sz w:val="22"/>
          <w:lang w:eastAsia="es-ES"/>
        </w:rPr>
      </w:pPr>
      <w:r w:rsidRPr="00585666">
        <w:rPr>
          <w:sz w:val="22"/>
          <w:lang w:eastAsia="es-ES"/>
        </w:rPr>
        <w:t>Así pues, mientras el hostigamiento sexual se puede presentar en los ámbitos de violencia escolar y laboral, el acoso sexual puede ser en cualquiera como familiar, laboral</w:t>
      </w:r>
      <w:r w:rsidR="00B15C51">
        <w:rPr>
          <w:sz w:val="22"/>
          <w:lang w:eastAsia="es-ES"/>
        </w:rPr>
        <w:t xml:space="preserve">, </w:t>
      </w:r>
      <w:r w:rsidRPr="00585666">
        <w:rPr>
          <w:sz w:val="22"/>
          <w:lang w:eastAsia="es-ES"/>
        </w:rPr>
        <w:t xml:space="preserve">docente, en la comunidad, </w:t>
      </w:r>
      <w:r w:rsidR="005F1273">
        <w:rPr>
          <w:sz w:val="22"/>
          <w:lang w:eastAsia="es-ES"/>
        </w:rPr>
        <w:t xml:space="preserve">a nivel </w:t>
      </w:r>
      <w:r w:rsidRPr="00585666">
        <w:rPr>
          <w:sz w:val="22"/>
          <w:lang w:eastAsia="es-ES"/>
        </w:rPr>
        <w:t xml:space="preserve">institucional y en la comunidad digital. </w:t>
      </w:r>
    </w:p>
    <w:p w14:paraId="06272752" w14:textId="63A006E1" w:rsidR="00FC4E01" w:rsidRDefault="00FC4E01">
      <w:pPr>
        <w:pStyle w:val="Sinespaciado"/>
        <w:rPr>
          <w:sz w:val="22"/>
          <w:lang w:eastAsia="es-ES"/>
        </w:rPr>
      </w:pPr>
    </w:p>
    <w:p w14:paraId="0A3940A8" w14:textId="59F75842" w:rsidR="00CF25D7" w:rsidRPr="00F44085" w:rsidRDefault="00CF25D7" w:rsidP="00F44085">
      <w:pPr>
        <w:spacing w:line="240" w:lineRule="auto"/>
        <w:jc w:val="both"/>
        <w:rPr>
          <w:color w:val="FF0000"/>
        </w:rPr>
      </w:pPr>
      <w:r w:rsidRPr="00F44085">
        <w:rPr>
          <w:rFonts w:ascii="Arial" w:hAnsi="Arial" w:cs="Arial"/>
          <w:lang w:eastAsia="es-ES"/>
        </w:rPr>
        <w:t>Es por ello</w:t>
      </w:r>
      <w:r w:rsidR="00B15C51">
        <w:rPr>
          <w:rFonts w:ascii="Arial" w:hAnsi="Arial" w:cs="Arial"/>
          <w:lang w:eastAsia="es-ES"/>
        </w:rPr>
        <w:t>,</w:t>
      </w:r>
      <w:r w:rsidRPr="00F44085">
        <w:rPr>
          <w:rFonts w:ascii="Arial" w:hAnsi="Arial" w:cs="Arial"/>
          <w:lang w:eastAsia="es-ES"/>
        </w:rPr>
        <w:t xml:space="preserve"> que la violencia particularmente contra las mujeres como expresión radical de la discriminación hacia ellas posee una incidencia social cuyos efectos son evidentes, haciendo que cobre relevancia  </w:t>
      </w:r>
      <w:r w:rsidRPr="00F44085">
        <w:rPr>
          <w:rFonts w:ascii="Arial" w:hAnsi="Arial" w:cs="Arial"/>
        </w:rPr>
        <w:t>la aplicación del enfoque de perspectiva de género en todos los ámbitos de la sociedad como una herramienta conceptual que informa de manera progresiva y creciente la protección de los derechos humanos y ofrece una manera de comprender cómo se produce la discriminación de las mujeres y las vías para transformarla</w:t>
      </w:r>
      <w:r w:rsidR="00B15C51" w:rsidRPr="00F44085">
        <w:rPr>
          <w:rFonts w:ascii="Arial" w:hAnsi="Arial" w:cs="Arial"/>
        </w:rPr>
        <w:t xml:space="preserve">; al mismo tiempo que tratados internacionales como diversas disposiciones normativas en México han ido integrando </w:t>
      </w:r>
      <w:r w:rsidR="00B15C51" w:rsidRPr="00F44085">
        <w:rPr>
          <w:rFonts w:ascii="Arial" w:hAnsi="Arial" w:cs="Arial"/>
        </w:rPr>
        <w:lastRenderedPageBreak/>
        <w:t>progresivamente en su seno esta nueva mirada que posibilita una protección más eficaz de los derechos.</w:t>
      </w:r>
    </w:p>
    <w:p w14:paraId="4D159392" w14:textId="77777777" w:rsidR="00052AF2" w:rsidRPr="00585666" w:rsidRDefault="00052AF2" w:rsidP="00052AF2">
      <w:pPr>
        <w:pStyle w:val="Sinespaciado"/>
        <w:rPr>
          <w:color w:val="FF0000"/>
          <w:sz w:val="22"/>
          <w:lang w:eastAsia="es-ES"/>
        </w:rPr>
      </w:pPr>
    </w:p>
    <w:p w14:paraId="758420B5" w14:textId="77777777" w:rsidR="00062300" w:rsidRPr="00585666" w:rsidRDefault="00062300" w:rsidP="00062300">
      <w:pPr>
        <w:pStyle w:val="Sinespaciado"/>
        <w:rPr>
          <w:sz w:val="22"/>
          <w:lang w:eastAsia="es-ES"/>
        </w:rPr>
      </w:pPr>
      <w:r w:rsidRPr="00585666">
        <w:rPr>
          <w:sz w:val="22"/>
          <w:lang w:eastAsia="es-ES"/>
        </w:rPr>
        <w:t xml:space="preserve">En nuestro Estado, el 20 de junio de 2017 fue publicado en el Periódico Oficial del Gobierno del Estado de Guanajuato el decreto número 195 con el cual se creaba la Ley de Responsabilidades Administrativas para el Estado de Guanajuato, cuyos objetivos son entre otros, el de establecer los principios y obligaciones que rigen la actuación de los servidores públicos, así como crear las bases para que toda entidad pública establezca políticas eficaces de ética y responsabilidad en el servicio público. </w:t>
      </w:r>
    </w:p>
    <w:p w14:paraId="68E7C5CC" w14:textId="77777777" w:rsidR="00062300" w:rsidRPr="00585666" w:rsidRDefault="00062300" w:rsidP="00062300">
      <w:pPr>
        <w:pStyle w:val="Sinespaciado"/>
        <w:rPr>
          <w:sz w:val="22"/>
          <w:lang w:eastAsia="es-ES"/>
        </w:rPr>
      </w:pPr>
    </w:p>
    <w:p w14:paraId="66C44894" w14:textId="26F8A175" w:rsidR="00062300" w:rsidRPr="00585666" w:rsidRDefault="00062300" w:rsidP="00C968D1">
      <w:pPr>
        <w:pStyle w:val="Sinespaciado"/>
        <w:rPr>
          <w:sz w:val="22"/>
          <w:lang w:eastAsia="es-ES"/>
        </w:rPr>
      </w:pPr>
      <w:r w:rsidRPr="00585666">
        <w:rPr>
          <w:sz w:val="22"/>
          <w:lang w:eastAsia="es-ES"/>
        </w:rPr>
        <w:t xml:space="preserve">Así pues, es menester señalar que todos los entes públicos están obligados a crear y mantener condiciones estructurales y normativas que permitan el adecuado funcionamiento del Estado en su conjunto, y la actuación ética y responsable de cada servidor público. </w:t>
      </w:r>
    </w:p>
    <w:p w14:paraId="2B56D06F" w14:textId="3C86FE61" w:rsidR="00D23B9F" w:rsidRPr="00585666" w:rsidRDefault="00D23B9F" w:rsidP="00C968D1">
      <w:pPr>
        <w:pStyle w:val="Sinespaciado"/>
        <w:rPr>
          <w:strike/>
          <w:sz w:val="22"/>
          <w:lang w:eastAsia="es-ES"/>
        </w:rPr>
      </w:pPr>
    </w:p>
    <w:p w14:paraId="30567955" w14:textId="3CE2754B" w:rsidR="00CB0B62" w:rsidRPr="00F44085" w:rsidRDefault="0071194C" w:rsidP="00CB0B62">
      <w:pPr>
        <w:pStyle w:val="Sinespaciado"/>
        <w:rPr>
          <w:color w:val="auto"/>
          <w:sz w:val="22"/>
          <w:lang w:eastAsia="es-ES"/>
        </w:rPr>
      </w:pPr>
      <w:r w:rsidRPr="00F44085">
        <w:rPr>
          <w:color w:val="auto"/>
          <w:sz w:val="22"/>
          <w:lang w:eastAsia="es-ES"/>
        </w:rPr>
        <w:t>Ante tal situación, se hace de</w:t>
      </w:r>
      <w:r w:rsidR="00CB0B62" w:rsidRPr="00F44085">
        <w:rPr>
          <w:color w:val="auto"/>
          <w:sz w:val="22"/>
          <w:lang w:eastAsia="es-ES"/>
        </w:rPr>
        <w:t xml:space="preserve"> vital importancia </w:t>
      </w:r>
      <w:r w:rsidR="00393DD7">
        <w:rPr>
          <w:color w:val="auto"/>
          <w:sz w:val="22"/>
          <w:lang w:eastAsia="es-ES"/>
        </w:rPr>
        <w:t xml:space="preserve">definir y </w:t>
      </w:r>
      <w:r w:rsidR="00CB0B62" w:rsidRPr="00F44085">
        <w:rPr>
          <w:color w:val="auto"/>
          <w:sz w:val="22"/>
          <w:lang w:eastAsia="es-ES"/>
        </w:rPr>
        <w:t>establecer en la Ley de Responsabilidades Administrativas para el Estado de Guanajuato las conductas de acoso y hostigamiento sexual</w:t>
      </w:r>
      <w:r w:rsidRPr="00F44085">
        <w:rPr>
          <w:color w:val="auto"/>
          <w:sz w:val="22"/>
          <w:lang w:eastAsia="es-ES"/>
        </w:rPr>
        <w:t xml:space="preserve"> como faltas administrativas graves</w:t>
      </w:r>
      <w:r w:rsidR="00393DD7" w:rsidRPr="00393DD7">
        <w:rPr>
          <w:color w:val="auto"/>
          <w:sz w:val="22"/>
          <w:lang w:eastAsia="es-ES"/>
        </w:rPr>
        <w:t xml:space="preserve"> </w:t>
      </w:r>
      <w:r w:rsidR="00393DD7" w:rsidRPr="00585666">
        <w:rPr>
          <w:color w:val="auto"/>
          <w:sz w:val="22"/>
          <w:lang w:eastAsia="es-ES"/>
        </w:rPr>
        <w:t>para procurar claridad y una pronta y expedita administración de justicia</w:t>
      </w:r>
      <w:r w:rsidRPr="00F44085">
        <w:rPr>
          <w:color w:val="auto"/>
          <w:sz w:val="22"/>
          <w:lang w:eastAsia="es-ES"/>
        </w:rPr>
        <w:t xml:space="preserve">, y con </w:t>
      </w:r>
      <w:r w:rsidR="00CB0B62" w:rsidRPr="00F44085">
        <w:rPr>
          <w:color w:val="auto"/>
          <w:sz w:val="22"/>
          <w:lang w:eastAsia="es-ES"/>
        </w:rPr>
        <w:t xml:space="preserve">ello </w:t>
      </w:r>
      <w:r w:rsidRPr="00F44085">
        <w:rPr>
          <w:color w:val="auto"/>
          <w:sz w:val="22"/>
          <w:lang w:eastAsia="es-ES"/>
        </w:rPr>
        <w:t>precisar</w:t>
      </w:r>
      <w:r w:rsidR="00CB0B62" w:rsidRPr="00F44085">
        <w:rPr>
          <w:color w:val="auto"/>
          <w:sz w:val="22"/>
          <w:lang w:eastAsia="es-ES"/>
        </w:rPr>
        <w:t xml:space="preserve"> un marco jurídico administrativo que garantice </w:t>
      </w:r>
      <w:r w:rsidRPr="00F44085">
        <w:rPr>
          <w:color w:val="auto"/>
          <w:sz w:val="22"/>
          <w:lang w:eastAsia="es-ES"/>
        </w:rPr>
        <w:t>principalmente</w:t>
      </w:r>
      <w:r w:rsidR="00CB0B62" w:rsidRPr="00F44085">
        <w:rPr>
          <w:color w:val="auto"/>
          <w:sz w:val="22"/>
          <w:lang w:eastAsia="es-ES"/>
        </w:rPr>
        <w:t xml:space="preserve"> el derecho de las mujeres a una vida libre de violencia en el </w:t>
      </w:r>
      <w:r w:rsidRPr="00F44085">
        <w:rPr>
          <w:color w:val="auto"/>
          <w:sz w:val="22"/>
          <w:lang w:eastAsia="es-ES"/>
        </w:rPr>
        <w:t xml:space="preserve">ámbito laboral; así como </w:t>
      </w:r>
      <w:r w:rsidRPr="00F44085">
        <w:rPr>
          <w:color w:val="auto"/>
          <w:sz w:val="22"/>
        </w:rPr>
        <w:t xml:space="preserve">incorporar el enfoque de perspectiva de género con </w:t>
      </w:r>
      <w:r w:rsidR="00052AF2" w:rsidRPr="00F44085">
        <w:rPr>
          <w:color w:val="auto"/>
          <w:sz w:val="22"/>
        </w:rPr>
        <w:t>el propósito</w:t>
      </w:r>
      <w:r w:rsidRPr="00F44085">
        <w:rPr>
          <w:color w:val="auto"/>
          <w:sz w:val="22"/>
        </w:rPr>
        <w:t xml:space="preserve"> de establecer </w:t>
      </w:r>
      <w:r w:rsidR="00052AF2" w:rsidRPr="00F44085">
        <w:rPr>
          <w:color w:val="auto"/>
          <w:sz w:val="22"/>
        </w:rPr>
        <w:t xml:space="preserve"> que los </w:t>
      </w:r>
      <w:r w:rsidRPr="00F44085">
        <w:rPr>
          <w:color w:val="auto"/>
          <w:sz w:val="22"/>
        </w:rPr>
        <w:t xml:space="preserve">mecanismos e instrumentos que </w:t>
      </w:r>
      <w:r w:rsidR="00052AF2" w:rsidRPr="00F44085">
        <w:rPr>
          <w:color w:val="auto"/>
          <w:sz w:val="22"/>
        </w:rPr>
        <w:t>guían el</w:t>
      </w:r>
      <w:r w:rsidRPr="00F44085">
        <w:rPr>
          <w:color w:val="auto"/>
          <w:sz w:val="22"/>
        </w:rPr>
        <w:t xml:space="preserve"> actuar </w:t>
      </w:r>
      <w:r w:rsidR="00052AF2" w:rsidRPr="00F44085">
        <w:rPr>
          <w:color w:val="auto"/>
          <w:sz w:val="22"/>
        </w:rPr>
        <w:t>del servidor público</w:t>
      </w:r>
      <w:r w:rsidR="00B15155" w:rsidRPr="00F44085">
        <w:rPr>
          <w:color w:val="auto"/>
          <w:sz w:val="22"/>
        </w:rPr>
        <w:t xml:space="preserve"> </w:t>
      </w:r>
      <w:r w:rsidR="00B15155" w:rsidRPr="00F44085">
        <w:rPr>
          <w:color w:val="auto"/>
          <w:sz w:val="22"/>
          <w:lang w:eastAsia="es-ES"/>
        </w:rPr>
        <w:t>prevengan, atiendan, sancionen y erradiquen la violencia de género a fin de que se erija como principio rector de toda actuación institucional.</w:t>
      </w:r>
    </w:p>
    <w:p w14:paraId="7D3187B3" w14:textId="5FB0F07D" w:rsidR="00062300" w:rsidRPr="00585666" w:rsidRDefault="00062300" w:rsidP="00F44085">
      <w:pPr>
        <w:pStyle w:val="Sinespaciado"/>
        <w:rPr>
          <w:sz w:val="22"/>
          <w:lang w:eastAsia="es-ES"/>
        </w:rPr>
      </w:pPr>
    </w:p>
    <w:p w14:paraId="1EBF730D" w14:textId="67BB474D" w:rsidR="00CB0B62" w:rsidRPr="00F44085" w:rsidRDefault="00CB0B62" w:rsidP="001C02A8">
      <w:pPr>
        <w:pStyle w:val="Sinespaciado"/>
        <w:rPr>
          <w:rFonts w:eastAsiaTheme="minorHAnsi"/>
          <w:color w:val="auto"/>
          <w:sz w:val="22"/>
          <w:lang w:eastAsia="en-US"/>
        </w:rPr>
      </w:pPr>
      <w:r w:rsidRPr="00F44085">
        <w:rPr>
          <w:color w:val="auto"/>
          <w:sz w:val="22"/>
          <w:lang w:eastAsia="es-ES"/>
        </w:rPr>
        <w:t>Por tal motivo, e</w:t>
      </w:r>
      <w:r w:rsidR="001C02A8" w:rsidRPr="00F44085">
        <w:rPr>
          <w:color w:val="auto"/>
          <w:sz w:val="22"/>
          <w:lang w:eastAsia="es-ES"/>
        </w:rPr>
        <w:t>sta</w:t>
      </w:r>
      <w:r w:rsidRPr="00F44085">
        <w:rPr>
          <w:color w:val="auto"/>
          <w:sz w:val="22"/>
          <w:lang w:eastAsia="es-ES"/>
        </w:rPr>
        <w:t>s reformas</w:t>
      </w:r>
      <w:r w:rsidR="001C02A8" w:rsidRPr="00F44085">
        <w:rPr>
          <w:color w:val="auto"/>
          <w:sz w:val="22"/>
          <w:lang w:eastAsia="es-ES"/>
        </w:rPr>
        <w:t xml:space="preserve"> </w:t>
      </w:r>
      <w:r w:rsidRPr="00F44085">
        <w:rPr>
          <w:color w:val="auto"/>
          <w:sz w:val="22"/>
          <w:lang w:eastAsia="es-ES"/>
        </w:rPr>
        <w:t>favorecerán</w:t>
      </w:r>
      <w:r w:rsidR="00E854C8" w:rsidRPr="00F44085">
        <w:rPr>
          <w:color w:val="auto"/>
          <w:sz w:val="22"/>
          <w:lang w:eastAsia="es-ES"/>
        </w:rPr>
        <w:t xml:space="preserve"> </w:t>
      </w:r>
      <w:r w:rsidRPr="00F44085">
        <w:rPr>
          <w:color w:val="auto"/>
          <w:sz w:val="22"/>
          <w:lang w:eastAsia="es-ES"/>
        </w:rPr>
        <w:t>al fortalecimiento d</w:t>
      </w:r>
      <w:r w:rsidRPr="00CB0B62">
        <w:rPr>
          <w:color w:val="auto"/>
          <w:sz w:val="22"/>
          <w:lang w:eastAsia="es-ES"/>
        </w:rPr>
        <w:t xml:space="preserve">el </w:t>
      </w:r>
      <w:r w:rsidRPr="00F44085">
        <w:rPr>
          <w:color w:val="auto"/>
          <w:sz w:val="22"/>
          <w:lang w:eastAsia="es-ES"/>
        </w:rPr>
        <w:t>trato laboral digno y respetuoso en el servicio público, con base en una cultura organizacional que dé pautas claras de prevención, detección y actuación ante situaciones de violencia de cualquier tipo y para</w:t>
      </w:r>
      <w:r w:rsidRPr="00F44085">
        <w:rPr>
          <w:rFonts w:eastAsiaTheme="minorHAnsi"/>
          <w:color w:val="auto"/>
          <w:sz w:val="22"/>
          <w:lang w:eastAsia="en-US"/>
        </w:rPr>
        <w:t xml:space="preserve"> que se considere el enfoque de perspectiva de género en el actuar público.</w:t>
      </w:r>
    </w:p>
    <w:p w14:paraId="69D7DA6F" w14:textId="77777777" w:rsidR="00CB0B62" w:rsidRPr="00F44085" w:rsidRDefault="00CB0B62" w:rsidP="001C02A8">
      <w:pPr>
        <w:pStyle w:val="Sinespaciado"/>
        <w:rPr>
          <w:rFonts w:eastAsiaTheme="minorHAnsi"/>
          <w:color w:val="auto"/>
          <w:sz w:val="22"/>
          <w:lang w:eastAsia="en-US"/>
        </w:rPr>
      </w:pPr>
    </w:p>
    <w:p w14:paraId="48F9653A" w14:textId="16AB3256" w:rsidR="002934E6" w:rsidRPr="00F44085" w:rsidRDefault="00CB0B62" w:rsidP="001C02A8">
      <w:pPr>
        <w:pStyle w:val="Sinespaciado"/>
        <w:rPr>
          <w:color w:val="auto"/>
          <w:sz w:val="22"/>
          <w:lang w:eastAsia="es-ES"/>
        </w:rPr>
      </w:pPr>
      <w:r w:rsidRPr="00F44085">
        <w:rPr>
          <w:rFonts w:eastAsiaTheme="minorHAnsi"/>
          <w:color w:val="auto"/>
          <w:sz w:val="22"/>
          <w:lang w:eastAsia="en-US"/>
        </w:rPr>
        <w:t xml:space="preserve">Asimismo, </w:t>
      </w:r>
      <w:r w:rsidR="00E43C74" w:rsidRPr="00F44085">
        <w:rPr>
          <w:color w:val="auto"/>
          <w:sz w:val="22"/>
          <w:lang w:eastAsia="es-ES"/>
        </w:rPr>
        <w:t xml:space="preserve"> </w:t>
      </w:r>
      <w:r w:rsidRPr="00F44085">
        <w:rPr>
          <w:color w:val="auto"/>
          <w:sz w:val="22"/>
          <w:lang w:eastAsia="es-ES"/>
        </w:rPr>
        <w:t xml:space="preserve">contribuirá a </w:t>
      </w:r>
      <w:r w:rsidR="00E43C74" w:rsidRPr="00F44085">
        <w:rPr>
          <w:color w:val="auto"/>
          <w:sz w:val="22"/>
          <w:lang w:eastAsia="es-ES"/>
        </w:rPr>
        <w:t xml:space="preserve">la suma de los esfuerzos enmarcados por la lucha de la eliminación de la violencia </w:t>
      </w:r>
      <w:r w:rsidRPr="00F44085">
        <w:rPr>
          <w:color w:val="auto"/>
          <w:sz w:val="22"/>
          <w:lang w:eastAsia="es-ES"/>
        </w:rPr>
        <w:t xml:space="preserve">específicamente </w:t>
      </w:r>
      <w:r w:rsidR="00E43C74" w:rsidRPr="00F44085">
        <w:rPr>
          <w:color w:val="auto"/>
          <w:sz w:val="22"/>
          <w:lang w:eastAsia="es-ES"/>
        </w:rPr>
        <w:t>contra las mujeres</w:t>
      </w:r>
      <w:r w:rsidR="002934E6" w:rsidRPr="00F44085">
        <w:rPr>
          <w:color w:val="auto"/>
          <w:sz w:val="22"/>
          <w:lang w:eastAsia="es-ES"/>
        </w:rPr>
        <w:t>.</w:t>
      </w:r>
    </w:p>
    <w:p w14:paraId="6BC34119" w14:textId="77777777" w:rsidR="002934E6" w:rsidRPr="00585666" w:rsidRDefault="002934E6" w:rsidP="001C02A8">
      <w:pPr>
        <w:pStyle w:val="Sinespaciado"/>
        <w:rPr>
          <w:sz w:val="22"/>
          <w:lang w:eastAsia="es-ES"/>
        </w:rPr>
      </w:pPr>
    </w:p>
    <w:p w14:paraId="006A1423" w14:textId="445ED50D" w:rsidR="001C02A8" w:rsidRPr="00585666" w:rsidRDefault="001F4300">
      <w:pPr>
        <w:pStyle w:val="Sinespaciado"/>
        <w:rPr>
          <w:sz w:val="22"/>
          <w:lang w:eastAsia="es-ES"/>
        </w:rPr>
      </w:pPr>
      <w:r w:rsidRPr="00585666">
        <w:rPr>
          <w:sz w:val="22"/>
          <w:lang w:eastAsia="es-ES"/>
        </w:rPr>
        <w:t>De igual manera</w:t>
      </w:r>
      <w:r w:rsidR="00CB0B62">
        <w:rPr>
          <w:sz w:val="22"/>
          <w:lang w:eastAsia="es-ES"/>
        </w:rPr>
        <w:t>, l</w:t>
      </w:r>
      <w:r w:rsidR="001C02A8" w:rsidRPr="00585666">
        <w:rPr>
          <w:sz w:val="22"/>
          <w:lang w:eastAsia="es-ES"/>
        </w:rPr>
        <w:t>as</w:t>
      </w:r>
      <w:r w:rsidR="00CB0B62">
        <w:rPr>
          <w:sz w:val="22"/>
          <w:lang w:eastAsia="es-ES"/>
        </w:rPr>
        <w:t xml:space="preserve"> presentes</w:t>
      </w:r>
      <w:r w:rsidR="001C02A8" w:rsidRPr="00585666">
        <w:rPr>
          <w:sz w:val="22"/>
          <w:lang w:eastAsia="es-ES"/>
        </w:rPr>
        <w:t xml:space="preserve"> reformas y adiciones</w:t>
      </w:r>
      <w:r w:rsidR="00CB0B62">
        <w:rPr>
          <w:sz w:val="22"/>
          <w:lang w:eastAsia="es-ES"/>
        </w:rPr>
        <w:t xml:space="preserve"> </w:t>
      </w:r>
      <w:r w:rsidR="001C02A8" w:rsidRPr="00585666">
        <w:rPr>
          <w:sz w:val="22"/>
          <w:lang w:eastAsia="es-ES"/>
        </w:rPr>
        <w:t xml:space="preserve">permitirán </w:t>
      </w:r>
      <w:r w:rsidR="00CB0B62">
        <w:rPr>
          <w:sz w:val="22"/>
          <w:lang w:eastAsia="es-ES"/>
        </w:rPr>
        <w:t>que</w:t>
      </w:r>
      <w:r w:rsidR="001C02A8" w:rsidRPr="00585666">
        <w:rPr>
          <w:sz w:val="22"/>
          <w:lang w:eastAsia="es-ES"/>
        </w:rPr>
        <w:t xml:space="preserve"> los órganos internos de control</w:t>
      </w:r>
      <w:r w:rsidR="00CB0B62">
        <w:rPr>
          <w:sz w:val="22"/>
          <w:lang w:eastAsia="es-ES"/>
        </w:rPr>
        <w:t xml:space="preserve"> de los entes públicos</w:t>
      </w:r>
      <w:r w:rsidR="001C02A8" w:rsidRPr="00585666">
        <w:rPr>
          <w:sz w:val="22"/>
          <w:lang w:eastAsia="es-ES"/>
        </w:rPr>
        <w:t xml:space="preserve"> puedan realizar su labor de investigación, sustanciación y resolución de faltas administrativas de la mano de mecanismos e instrumentos que contemplen un enfoque </w:t>
      </w:r>
      <w:r w:rsidR="00CB0B62">
        <w:rPr>
          <w:sz w:val="22"/>
          <w:lang w:eastAsia="es-ES"/>
        </w:rPr>
        <w:t>con</w:t>
      </w:r>
      <w:r w:rsidR="001C02A8" w:rsidRPr="00585666">
        <w:rPr>
          <w:sz w:val="22"/>
          <w:lang w:eastAsia="es-ES"/>
        </w:rPr>
        <w:t xml:space="preserve"> perspectiva de género.</w:t>
      </w:r>
    </w:p>
    <w:p w14:paraId="2206C267" w14:textId="77777777" w:rsidR="001F7CB1" w:rsidRPr="00585666" w:rsidRDefault="001F7CB1" w:rsidP="00062300">
      <w:pPr>
        <w:pStyle w:val="Sinespaciado"/>
        <w:ind w:left="0" w:firstLine="0"/>
        <w:rPr>
          <w:sz w:val="22"/>
          <w:lang w:eastAsia="es-ES"/>
        </w:rPr>
      </w:pPr>
    </w:p>
    <w:p w14:paraId="702FD0E4" w14:textId="2D7E9FE0" w:rsidR="00062300" w:rsidRPr="00585666" w:rsidRDefault="00062300" w:rsidP="00062300">
      <w:pPr>
        <w:pStyle w:val="Sinespaciado"/>
        <w:rPr>
          <w:sz w:val="22"/>
          <w:lang w:eastAsia="es-ES"/>
        </w:rPr>
      </w:pPr>
      <w:r w:rsidRPr="00585666">
        <w:rPr>
          <w:sz w:val="22"/>
          <w:lang w:eastAsia="es-ES"/>
        </w:rPr>
        <w:t xml:space="preserve">En atención a todo ello, es que se </w:t>
      </w:r>
      <w:r w:rsidR="00B95529">
        <w:rPr>
          <w:sz w:val="22"/>
          <w:lang w:eastAsia="es-ES"/>
        </w:rPr>
        <w:t>establecen</w:t>
      </w:r>
      <w:r w:rsidRPr="00585666">
        <w:rPr>
          <w:sz w:val="22"/>
          <w:lang w:eastAsia="es-ES"/>
        </w:rPr>
        <w:t xml:space="preserve"> reformas y adiciones a la Ley de Responsabilidades</w:t>
      </w:r>
      <w:r w:rsidR="00300F37" w:rsidRPr="00585666">
        <w:rPr>
          <w:sz w:val="22"/>
          <w:lang w:eastAsia="es-ES"/>
        </w:rPr>
        <w:t xml:space="preserve"> </w:t>
      </w:r>
      <w:r w:rsidRPr="00585666">
        <w:rPr>
          <w:sz w:val="22"/>
          <w:lang w:eastAsia="es-ES"/>
        </w:rPr>
        <w:t xml:space="preserve">Administrativas para el Estado de Guanajuato, </w:t>
      </w:r>
      <w:r w:rsidR="00B95529">
        <w:rPr>
          <w:sz w:val="22"/>
          <w:lang w:eastAsia="es-ES"/>
        </w:rPr>
        <w:t>consistentes</w:t>
      </w:r>
      <w:r w:rsidRPr="00585666">
        <w:rPr>
          <w:sz w:val="22"/>
          <w:lang w:eastAsia="es-ES"/>
        </w:rPr>
        <w:t xml:space="preserve"> específicamente en </w:t>
      </w:r>
      <w:r w:rsidR="00267517">
        <w:rPr>
          <w:sz w:val="22"/>
          <w:lang w:eastAsia="es-ES"/>
        </w:rPr>
        <w:t xml:space="preserve">reformar </w:t>
      </w:r>
      <w:r w:rsidR="00267517" w:rsidRPr="00585666">
        <w:rPr>
          <w:sz w:val="22"/>
          <w:lang w:eastAsia="es-ES"/>
        </w:rPr>
        <w:t>el segundo párrafo del artículo 15</w:t>
      </w:r>
      <w:r w:rsidR="00267517">
        <w:rPr>
          <w:sz w:val="22"/>
          <w:lang w:eastAsia="es-ES"/>
        </w:rPr>
        <w:t xml:space="preserve">, así como </w:t>
      </w:r>
      <w:r w:rsidRPr="00585666">
        <w:rPr>
          <w:sz w:val="22"/>
          <w:lang w:eastAsia="es-ES"/>
        </w:rPr>
        <w:t xml:space="preserve">adicionar una fracción XX Bis al artículo 3 y una fracción XI al artículo 7, un tercer párrafo al artículo 64, un artículo 64 Bis y un artículo 64 ter, con la intención de que se considere este tipo de conductas como una falta administrativa que amerite </w:t>
      </w:r>
      <w:r w:rsidRPr="00585666">
        <w:rPr>
          <w:i/>
          <w:sz w:val="22"/>
          <w:lang w:eastAsia="es-ES"/>
        </w:rPr>
        <w:t>una sanción de</w:t>
      </w:r>
      <w:r w:rsidRPr="00585666">
        <w:rPr>
          <w:sz w:val="22"/>
          <w:lang w:eastAsia="es-ES"/>
        </w:rPr>
        <w:t xml:space="preserve"> </w:t>
      </w:r>
      <w:r w:rsidRPr="00585666">
        <w:rPr>
          <w:i/>
          <w:sz w:val="22"/>
          <w:lang w:eastAsia="es-ES"/>
        </w:rPr>
        <w:t xml:space="preserve">carácter grave y considerar el </w:t>
      </w:r>
      <w:r w:rsidR="00CB0B62">
        <w:rPr>
          <w:i/>
          <w:sz w:val="22"/>
          <w:lang w:eastAsia="es-ES"/>
        </w:rPr>
        <w:t>enfoque</w:t>
      </w:r>
      <w:r w:rsidRPr="00585666">
        <w:rPr>
          <w:i/>
          <w:sz w:val="22"/>
          <w:lang w:eastAsia="es-ES"/>
        </w:rPr>
        <w:t xml:space="preserve"> de perspectiva de género en todas las actuaciones e instrumentos del servidor público </w:t>
      </w:r>
      <w:r w:rsidRPr="00585666">
        <w:rPr>
          <w:sz w:val="22"/>
          <w:lang w:eastAsia="es-ES"/>
        </w:rPr>
        <w:t xml:space="preserve"> por los razonamientos señalados con anterioridad y con independencia de otras sanciones aplicables en otros ámbitos.</w:t>
      </w:r>
    </w:p>
    <w:p w14:paraId="756DA633" w14:textId="77777777" w:rsidR="00062300" w:rsidRPr="00585666" w:rsidRDefault="00062300" w:rsidP="00062300">
      <w:pPr>
        <w:pStyle w:val="Sinespaciado"/>
        <w:rPr>
          <w:b/>
          <w:color w:val="auto"/>
          <w:sz w:val="22"/>
        </w:rPr>
      </w:pPr>
    </w:p>
    <w:p w14:paraId="0A8DD79C" w14:textId="08F5BCE5" w:rsidR="00062300" w:rsidRPr="00585666" w:rsidRDefault="00062300" w:rsidP="00062300">
      <w:pPr>
        <w:spacing w:after="0" w:line="240" w:lineRule="auto"/>
        <w:jc w:val="both"/>
        <w:rPr>
          <w:rFonts w:ascii="Arial" w:hAnsi="Arial" w:cs="Arial"/>
        </w:rPr>
      </w:pPr>
      <w:r w:rsidRPr="00585666">
        <w:rPr>
          <w:rFonts w:ascii="Arial" w:hAnsi="Arial" w:cs="Arial"/>
        </w:rPr>
        <w:lastRenderedPageBreak/>
        <w:t>Por lo antes expuesto, se somete a la consideración de esa H. Legislatura la siguiente:</w:t>
      </w:r>
    </w:p>
    <w:p w14:paraId="729504F3" w14:textId="59EBD902" w:rsidR="00B0181B" w:rsidRDefault="00B0181B" w:rsidP="00062300">
      <w:pPr>
        <w:spacing w:after="0" w:line="240" w:lineRule="auto"/>
        <w:rPr>
          <w:rFonts w:ascii="Arial" w:hAnsi="Arial" w:cs="Arial"/>
        </w:rPr>
      </w:pPr>
    </w:p>
    <w:p w14:paraId="47F10FF2" w14:textId="05FD982D" w:rsidR="00B0181B" w:rsidRDefault="00B0181B" w:rsidP="00062300">
      <w:pPr>
        <w:spacing w:after="0" w:line="240" w:lineRule="auto"/>
        <w:rPr>
          <w:rFonts w:ascii="Arial" w:hAnsi="Arial" w:cs="Arial"/>
        </w:rPr>
      </w:pPr>
    </w:p>
    <w:p w14:paraId="6CC3A0FB" w14:textId="77777777" w:rsidR="00B0181B" w:rsidRPr="00585666" w:rsidRDefault="00B0181B" w:rsidP="00062300">
      <w:pPr>
        <w:spacing w:after="0" w:line="240" w:lineRule="auto"/>
        <w:rPr>
          <w:rFonts w:ascii="Arial" w:hAnsi="Arial" w:cs="Arial"/>
        </w:rPr>
      </w:pPr>
    </w:p>
    <w:p w14:paraId="3B9C7AFE" w14:textId="0BBC3CCC" w:rsidR="00062300" w:rsidRDefault="00062300" w:rsidP="00DD57B0">
      <w:pPr>
        <w:jc w:val="center"/>
        <w:rPr>
          <w:rFonts w:ascii="Arial" w:hAnsi="Arial" w:cs="Arial"/>
          <w:b/>
          <w:bCs/>
        </w:rPr>
      </w:pPr>
      <w:r w:rsidRPr="00585666">
        <w:rPr>
          <w:rFonts w:ascii="Arial" w:hAnsi="Arial" w:cs="Arial"/>
          <w:b/>
          <w:bCs/>
        </w:rPr>
        <w:t>PROPUESTA DE INICIATIVA</w:t>
      </w:r>
    </w:p>
    <w:p w14:paraId="4F750E96" w14:textId="77777777" w:rsidR="00DD57B0" w:rsidRPr="00DD57B0" w:rsidRDefault="00DD57B0" w:rsidP="00DD57B0">
      <w:pPr>
        <w:jc w:val="center"/>
        <w:rPr>
          <w:rFonts w:ascii="Arial" w:hAnsi="Arial" w:cs="Arial"/>
          <w:b/>
          <w:bCs/>
        </w:rPr>
      </w:pPr>
    </w:p>
    <w:p w14:paraId="7D273B5C" w14:textId="316135D4" w:rsidR="00062300" w:rsidRPr="00585666" w:rsidRDefault="00062300" w:rsidP="00062300">
      <w:pPr>
        <w:jc w:val="both"/>
        <w:rPr>
          <w:rFonts w:ascii="Arial" w:hAnsi="Arial" w:cs="Arial"/>
        </w:rPr>
      </w:pPr>
      <w:r w:rsidRPr="00585666">
        <w:rPr>
          <w:rFonts w:ascii="Arial" w:hAnsi="Arial" w:cs="Arial"/>
          <w:b/>
          <w:bCs/>
        </w:rPr>
        <w:t xml:space="preserve">Único.- </w:t>
      </w:r>
      <w:r w:rsidR="006446AC">
        <w:rPr>
          <w:rFonts w:ascii="Arial" w:hAnsi="Arial" w:cs="Arial"/>
          <w:b/>
          <w:bCs/>
        </w:rPr>
        <w:t>S</w:t>
      </w:r>
      <w:r w:rsidR="006446AC" w:rsidRPr="00585666">
        <w:rPr>
          <w:rFonts w:ascii="Arial" w:hAnsi="Arial" w:cs="Arial"/>
          <w:b/>
          <w:bCs/>
        </w:rPr>
        <w:t>e reforma</w:t>
      </w:r>
      <w:r w:rsidR="006446AC" w:rsidRPr="00585666">
        <w:rPr>
          <w:rFonts w:ascii="Arial" w:hAnsi="Arial" w:cs="Arial"/>
        </w:rPr>
        <w:t xml:space="preserve"> el segundo párrafo del artículo 15</w:t>
      </w:r>
      <w:r w:rsidR="006446AC">
        <w:rPr>
          <w:rFonts w:ascii="Arial" w:hAnsi="Arial" w:cs="Arial"/>
        </w:rPr>
        <w:t xml:space="preserve"> y</w:t>
      </w:r>
      <w:r w:rsidR="006446AC" w:rsidRPr="00585666">
        <w:rPr>
          <w:rFonts w:ascii="Arial" w:hAnsi="Arial" w:cs="Arial"/>
        </w:rPr>
        <w:t xml:space="preserve"> </w:t>
      </w:r>
      <w:r w:rsidR="006446AC">
        <w:rPr>
          <w:rFonts w:ascii="Arial" w:hAnsi="Arial" w:cs="Arial"/>
          <w:b/>
          <w:bCs/>
        </w:rPr>
        <w:t>s</w:t>
      </w:r>
      <w:r w:rsidRPr="00585666">
        <w:rPr>
          <w:rFonts w:ascii="Arial" w:hAnsi="Arial" w:cs="Arial"/>
          <w:b/>
          <w:bCs/>
        </w:rPr>
        <w:t xml:space="preserve">e adicionan </w:t>
      </w:r>
      <w:r w:rsidRPr="00585666">
        <w:rPr>
          <w:rFonts w:ascii="Arial" w:hAnsi="Arial" w:cs="Arial"/>
        </w:rPr>
        <w:t>una fracción XX Bis al artículo 3</w:t>
      </w:r>
      <w:r w:rsidR="006446AC">
        <w:rPr>
          <w:rFonts w:ascii="Arial" w:hAnsi="Arial" w:cs="Arial"/>
        </w:rPr>
        <w:t xml:space="preserve">, </w:t>
      </w:r>
      <w:r w:rsidRPr="00585666">
        <w:rPr>
          <w:rFonts w:ascii="Arial" w:hAnsi="Arial" w:cs="Arial"/>
        </w:rPr>
        <w:t xml:space="preserve">una fracción XI al artículo 7, un tercer párrafo al artículo 64, un artículo 64 Bis y un artículo 64 </w:t>
      </w:r>
      <w:r w:rsidR="006446AC">
        <w:rPr>
          <w:rFonts w:ascii="Arial" w:hAnsi="Arial" w:cs="Arial"/>
        </w:rPr>
        <w:t>T</w:t>
      </w:r>
      <w:r w:rsidRPr="00585666">
        <w:rPr>
          <w:rFonts w:ascii="Arial" w:hAnsi="Arial" w:cs="Arial"/>
        </w:rPr>
        <w:t>er</w:t>
      </w:r>
      <w:r w:rsidR="006446AC">
        <w:rPr>
          <w:rFonts w:ascii="Arial" w:hAnsi="Arial" w:cs="Arial"/>
        </w:rPr>
        <w:t xml:space="preserve">, todos </w:t>
      </w:r>
      <w:r w:rsidRPr="00585666">
        <w:rPr>
          <w:rFonts w:ascii="Arial" w:hAnsi="Arial" w:cs="Arial"/>
        </w:rPr>
        <w:t>de la Ley de Responsabilidades Administrativas para el Estado de Guanajuato, publicada en el Periódico Oficial del Gobierno del Estado, número 98, cuarta parte, de fecha 20 de junio de 2017,  para quedar en los términos siguientes:</w:t>
      </w:r>
    </w:p>
    <w:p w14:paraId="651D3780" w14:textId="77777777" w:rsidR="00062300" w:rsidRPr="00585666" w:rsidRDefault="00062300" w:rsidP="00062300">
      <w:pPr>
        <w:spacing w:line="240" w:lineRule="auto"/>
        <w:jc w:val="both"/>
        <w:rPr>
          <w:rFonts w:ascii="Arial" w:hAnsi="Arial" w:cs="Arial"/>
          <w:b/>
          <w:bCs/>
          <w:i/>
          <w:iCs/>
        </w:rPr>
      </w:pPr>
    </w:p>
    <w:p w14:paraId="2CE705BD" w14:textId="77777777" w:rsidR="00062300" w:rsidRPr="00585666" w:rsidRDefault="00062300" w:rsidP="00062300">
      <w:pPr>
        <w:spacing w:line="240" w:lineRule="auto"/>
        <w:jc w:val="both"/>
        <w:rPr>
          <w:rFonts w:ascii="Arial" w:hAnsi="Arial" w:cs="Arial"/>
          <w:i/>
          <w:iCs/>
        </w:rPr>
      </w:pPr>
      <w:r w:rsidRPr="00585666">
        <w:rPr>
          <w:rFonts w:ascii="Arial" w:hAnsi="Arial" w:cs="Arial"/>
          <w:b/>
          <w:bCs/>
          <w:i/>
          <w:iCs/>
        </w:rPr>
        <w:t xml:space="preserve">“Artículo 3. </w:t>
      </w:r>
      <w:r w:rsidRPr="00585666">
        <w:rPr>
          <w:rFonts w:ascii="Arial" w:hAnsi="Arial" w:cs="Arial"/>
          <w:i/>
          <w:iCs/>
        </w:rPr>
        <w:t>Para efectos de…</w:t>
      </w:r>
    </w:p>
    <w:p w14:paraId="35D3EE24" w14:textId="77777777" w:rsidR="00062300" w:rsidRPr="00585666" w:rsidRDefault="00062300" w:rsidP="00062300">
      <w:pPr>
        <w:jc w:val="both"/>
        <w:rPr>
          <w:rFonts w:ascii="Arial" w:hAnsi="Arial" w:cs="Arial"/>
        </w:rPr>
      </w:pPr>
      <w:r w:rsidRPr="00585666">
        <w:rPr>
          <w:rFonts w:ascii="Arial" w:hAnsi="Arial" w:cs="Arial"/>
          <w:b/>
          <w:bCs/>
          <w:i/>
          <w:iCs/>
        </w:rPr>
        <w:t>I. a XX</w:t>
      </w:r>
      <w:r w:rsidRPr="00585666">
        <w:rPr>
          <w:rFonts w:ascii="Arial" w:hAnsi="Arial" w:cs="Arial"/>
        </w:rPr>
        <w:t>. …</w:t>
      </w:r>
    </w:p>
    <w:p w14:paraId="1E63A3B0" w14:textId="77777777" w:rsidR="00062300" w:rsidRPr="00585666" w:rsidRDefault="00062300" w:rsidP="00062300">
      <w:pPr>
        <w:jc w:val="both"/>
        <w:rPr>
          <w:rFonts w:ascii="Arial" w:hAnsi="Arial" w:cs="Arial"/>
          <w:i/>
          <w:iCs/>
        </w:rPr>
      </w:pPr>
      <w:r w:rsidRPr="00585666">
        <w:rPr>
          <w:rFonts w:ascii="Arial" w:hAnsi="Arial" w:cs="Arial"/>
          <w:b/>
          <w:bCs/>
          <w:i/>
          <w:iCs/>
        </w:rPr>
        <w:t>XX Bis</w:t>
      </w:r>
      <w:r w:rsidRPr="00585666">
        <w:rPr>
          <w:rFonts w:ascii="Arial" w:hAnsi="Arial" w:cs="Arial"/>
          <w:i/>
          <w:iCs/>
        </w:rPr>
        <w:t xml:space="preserve">. </w:t>
      </w:r>
      <w:r w:rsidRPr="00585666">
        <w:rPr>
          <w:rFonts w:ascii="Arial" w:hAnsi="Arial" w:cs="Arial"/>
          <w:b/>
          <w:bCs/>
          <w:i/>
          <w:iCs/>
        </w:rPr>
        <w:t>Perspectiva de género:</w:t>
      </w:r>
      <w:r w:rsidRPr="00585666">
        <w:rPr>
          <w:rFonts w:ascii="Arial" w:hAnsi="Arial" w:cs="Arial"/>
          <w:i/>
          <w:iCs/>
        </w:rPr>
        <w:t xml:space="preserve"> La visión científica, analítica y política sobre las mujeres y los hombres, que propone eliminar las causas de la opresión de género como la desigualdad, la injusticia y la jerarquización de las personas basada en el género. Promueve la igualdad, la equidad, el adelanto y el bienestar de las mujeres; contribuye a construir una sociedad en donde las mujeres y los hombres tengan el mismo valor, la igualdad de derechos y oportunidades, para acceder al desarrollo social y la representación en los ámbitos de toma de decisiones;</w:t>
      </w:r>
    </w:p>
    <w:p w14:paraId="6F8B4AC9" w14:textId="77777777" w:rsidR="00062300" w:rsidRPr="00585666" w:rsidRDefault="00062300" w:rsidP="00062300">
      <w:pPr>
        <w:pStyle w:val="Texto"/>
        <w:spacing w:after="0" w:line="240" w:lineRule="auto"/>
        <w:ind w:firstLine="0"/>
        <w:rPr>
          <w:rFonts w:cs="Arial"/>
          <w:b/>
          <w:bCs/>
          <w:i/>
          <w:iCs/>
          <w:sz w:val="22"/>
          <w:szCs w:val="22"/>
        </w:rPr>
      </w:pPr>
      <w:r w:rsidRPr="00585666">
        <w:rPr>
          <w:rFonts w:cs="Arial"/>
          <w:b/>
          <w:bCs/>
          <w:i/>
          <w:iCs/>
          <w:sz w:val="22"/>
          <w:szCs w:val="22"/>
        </w:rPr>
        <w:t>XXI. a XXIV. …</w:t>
      </w:r>
    </w:p>
    <w:p w14:paraId="4DC0F588" w14:textId="77777777" w:rsidR="00062300" w:rsidRPr="00585666" w:rsidRDefault="00062300" w:rsidP="00062300">
      <w:pPr>
        <w:pStyle w:val="Texto"/>
        <w:spacing w:after="0" w:line="240" w:lineRule="auto"/>
        <w:ind w:firstLine="0"/>
        <w:rPr>
          <w:rFonts w:cs="Arial"/>
          <w:b/>
          <w:bCs/>
          <w:i/>
          <w:iCs/>
          <w:sz w:val="22"/>
          <w:szCs w:val="22"/>
        </w:rPr>
      </w:pPr>
    </w:p>
    <w:p w14:paraId="7E984DA0" w14:textId="77777777" w:rsidR="00062300" w:rsidRPr="00585666" w:rsidRDefault="00062300" w:rsidP="00062300">
      <w:pPr>
        <w:spacing w:line="240" w:lineRule="auto"/>
        <w:jc w:val="both"/>
        <w:rPr>
          <w:rFonts w:ascii="Arial" w:hAnsi="Arial" w:cs="Arial"/>
          <w:b/>
          <w:bCs/>
          <w:i/>
          <w:iCs/>
        </w:rPr>
      </w:pPr>
      <w:r w:rsidRPr="00585666">
        <w:rPr>
          <w:rFonts w:ascii="Arial" w:hAnsi="Arial" w:cs="Arial"/>
          <w:b/>
          <w:bCs/>
          <w:i/>
          <w:iCs/>
        </w:rPr>
        <w:t xml:space="preserve">Artículo 7. </w:t>
      </w:r>
      <w:r w:rsidRPr="00585666">
        <w:rPr>
          <w:rFonts w:ascii="Arial" w:hAnsi="Arial" w:cs="Arial"/>
          <w:i/>
          <w:iCs/>
        </w:rPr>
        <w:t xml:space="preserve"> Los servidores públicos…</w:t>
      </w:r>
    </w:p>
    <w:p w14:paraId="33E6F08E" w14:textId="77777777" w:rsidR="00062300" w:rsidRPr="00585666" w:rsidRDefault="00062300" w:rsidP="00062300">
      <w:pPr>
        <w:spacing w:line="240" w:lineRule="auto"/>
        <w:jc w:val="both"/>
        <w:rPr>
          <w:rFonts w:ascii="Arial" w:hAnsi="Arial" w:cs="Arial"/>
          <w:i/>
          <w:iCs/>
        </w:rPr>
      </w:pPr>
      <w:r w:rsidRPr="00585666">
        <w:rPr>
          <w:rFonts w:ascii="Arial" w:hAnsi="Arial" w:cs="Arial"/>
          <w:b/>
          <w:bCs/>
          <w:i/>
          <w:iCs/>
        </w:rPr>
        <w:t>I.</w:t>
      </w:r>
      <w:r w:rsidRPr="00585666">
        <w:rPr>
          <w:rFonts w:ascii="Arial" w:hAnsi="Arial" w:cs="Arial"/>
          <w:i/>
          <w:iCs/>
        </w:rPr>
        <w:t xml:space="preserve"> a </w:t>
      </w:r>
      <w:r w:rsidRPr="00585666">
        <w:rPr>
          <w:rFonts w:ascii="Arial" w:hAnsi="Arial" w:cs="Arial"/>
          <w:b/>
          <w:bCs/>
          <w:i/>
          <w:iCs/>
        </w:rPr>
        <w:t xml:space="preserve">X. </w:t>
      </w:r>
      <w:r w:rsidRPr="00585666">
        <w:rPr>
          <w:rFonts w:ascii="Arial" w:hAnsi="Arial" w:cs="Arial"/>
          <w:i/>
          <w:iCs/>
        </w:rPr>
        <w:t>…</w:t>
      </w:r>
    </w:p>
    <w:p w14:paraId="3DA7541F" w14:textId="77777777" w:rsidR="00062300" w:rsidRPr="00585666" w:rsidRDefault="00062300" w:rsidP="00062300">
      <w:pPr>
        <w:spacing w:line="240" w:lineRule="auto"/>
        <w:jc w:val="both"/>
        <w:rPr>
          <w:rFonts w:ascii="Arial" w:hAnsi="Arial" w:cs="Arial"/>
          <w:i/>
          <w:iCs/>
        </w:rPr>
      </w:pPr>
      <w:r w:rsidRPr="00585666">
        <w:rPr>
          <w:rFonts w:ascii="Arial" w:hAnsi="Arial" w:cs="Arial"/>
          <w:b/>
          <w:bCs/>
          <w:i/>
          <w:iCs/>
        </w:rPr>
        <w:t>XI.</w:t>
      </w:r>
      <w:r w:rsidRPr="00585666">
        <w:rPr>
          <w:rFonts w:ascii="Arial" w:hAnsi="Arial" w:cs="Arial"/>
          <w:i/>
          <w:iCs/>
        </w:rPr>
        <w:t xml:space="preserve"> Promover, respetar, proteger y garantizar el acceso a todas las mujeres a una vida libre de violencia, aplicando en todo momento el enfoque de perspectiva de género.</w:t>
      </w:r>
      <w:r w:rsidRPr="00585666">
        <w:rPr>
          <w:rFonts w:ascii="Arial" w:hAnsi="Arial" w:cs="Arial"/>
        </w:rPr>
        <w:t xml:space="preserve"> </w:t>
      </w:r>
    </w:p>
    <w:p w14:paraId="57530F9D" w14:textId="77777777" w:rsidR="00062300" w:rsidRPr="00585666" w:rsidRDefault="00062300" w:rsidP="00062300">
      <w:pPr>
        <w:pStyle w:val="Texto"/>
        <w:spacing w:after="0" w:line="240" w:lineRule="auto"/>
        <w:ind w:firstLine="0"/>
        <w:rPr>
          <w:rFonts w:cs="Arial"/>
          <w:i/>
          <w:iCs/>
          <w:sz w:val="22"/>
          <w:szCs w:val="22"/>
        </w:rPr>
      </w:pPr>
      <w:r w:rsidRPr="00585666">
        <w:rPr>
          <w:rFonts w:cs="Arial"/>
          <w:b/>
          <w:i/>
          <w:iCs/>
          <w:sz w:val="22"/>
          <w:szCs w:val="22"/>
        </w:rPr>
        <w:t xml:space="preserve">Artículo 15. </w:t>
      </w:r>
      <w:r w:rsidRPr="00585666">
        <w:rPr>
          <w:rFonts w:cs="Arial"/>
          <w:i/>
          <w:iCs/>
          <w:sz w:val="22"/>
          <w:szCs w:val="22"/>
        </w:rPr>
        <w:t>Para prevenir la …</w:t>
      </w:r>
    </w:p>
    <w:p w14:paraId="288AD886" w14:textId="77777777" w:rsidR="00062300" w:rsidRPr="00585666" w:rsidRDefault="00062300" w:rsidP="00062300">
      <w:pPr>
        <w:pStyle w:val="Texto"/>
        <w:spacing w:after="0" w:line="240" w:lineRule="auto"/>
        <w:ind w:firstLine="0"/>
        <w:rPr>
          <w:rFonts w:cs="Arial"/>
          <w:sz w:val="22"/>
          <w:szCs w:val="22"/>
        </w:rPr>
      </w:pPr>
    </w:p>
    <w:p w14:paraId="71A14207" w14:textId="77777777" w:rsidR="00062300" w:rsidRPr="00585666" w:rsidRDefault="00062300" w:rsidP="00062300">
      <w:pPr>
        <w:pStyle w:val="Texto"/>
        <w:ind w:firstLine="0"/>
        <w:rPr>
          <w:rFonts w:eastAsiaTheme="minorHAnsi" w:cs="Arial"/>
          <w:i/>
          <w:iCs/>
          <w:sz w:val="22"/>
          <w:szCs w:val="22"/>
          <w:lang w:eastAsia="en-US"/>
        </w:rPr>
      </w:pPr>
      <w:r w:rsidRPr="00585666">
        <w:rPr>
          <w:rFonts w:eastAsiaTheme="minorHAnsi" w:cs="Arial"/>
          <w:i/>
          <w:iCs/>
          <w:sz w:val="22"/>
          <w:szCs w:val="22"/>
          <w:lang w:eastAsia="en-US"/>
        </w:rPr>
        <w:t xml:space="preserve">En la implementación de las acciones referidas, los órganos internos de control deberán atender los lineamientos generales que emita la Secretaría y, en su caso, considerar el enfoque de perspectiva de género para prevenir, atender y erradicar la violencia que se genere en este ámbito. </w:t>
      </w:r>
    </w:p>
    <w:p w14:paraId="526EECF8" w14:textId="77777777" w:rsidR="00062300" w:rsidRPr="00585666" w:rsidRDefault="00062300" w:rsidP="00062300">
      <w:pPr>
        <w:pStyle w:val="Texto"/>
        <w:spacing w:after="0" w:line="240" w:lineRule="auto"/>
        <w:ind w:firstLine="0"/>
        <w:rPr>
          <w:rFonts w:cs="Arial"/>
          <w:sz w:val="22"/>
          <w:szCs w:val="22"/>
        </w:rPr>
      </w:pPr>
    </w:p>
    <w:p w14:paraId="0485CBA0" w14:textId="77777777" w:rsidR="00062300" w:rsidRPr="00585666" w:rsidRDefault="00062300" w:rsidP="00062300">
      <w:pPr>
        <w:pStyle w:val="Texto"/>
        <w:spacing w:after="0" w:line="240" w:lineRule="auto"/>
        <w:ind w:firstLine="0"/>
        <w:rPr>
          <w:rFonts w:cs="Arial"/>
          <w:sz w:val="22"/>
          <w:szCs w:val="22"/>
        </w:rPr>
      </w:pPr>
      <w:r w:rsidRPr="00585666">
        <w:rPr>
          <w:rFonts w:cs="Arial"/>
          <w:b/>
          <w:i/>
          <w:iCs/>
          <w:sz w:val="22"/>
          <w:szCs w:val="22"/>
        </w:rPr>
        <w:t>Artículo 64.</w:t>
      </w:r>
      <w:r w:rsidRPr="00585666">
        <w:rPr>
          <w:rFonts w:cs="Arial"/>
          <w:sz w:val="22"/>
          <w:szCs w:val="22"/>
        </w:rPr>
        <w:t xml:space="preserve"> Los Servidores Públicos…</w:t>
      </w:r>
    </w:p>
    <w:p w14:paraId="1BE17153" w14:textId="77777777" w:rsidR="00062300" w:rsidRPr="00585666" w:rsidRDefault="00062300" w:rsidP="00062300">
      <w:pPr>
        <w:pStyle w:val="Texto"/>
        <w:spacing w:after="0" w:line="240" w:lineRule="auto"/>
        <w:ind w:firstLine="709"/>
        <w:rPr>
          <w:rFonts w:cs="Arial"/>
          <w:i/>
          <w:iCs/>
          <w:sz w:val="22"/>
          <w:szCs w:val="22"/>
        </w:rPr>
      </w:pPr>
    </w:p>
    <w:p w14:paraId="32C53979" w14:textId="77777777" w:rsidR="00062300" w:rsidRPr="00585666" w:rsidRDefault="00062300" w:rsidP="00062300">
      <w:pPr>
        <w:pStyle w:val="Texto"/>
        <w:spacing w:after="0" w:line="240" w:lineRule="auto"/>
        <w:ind w:firstLine="0"/>
        <w:rPr>
          <w:rFonts w:cs="Arial"/>
          <w:i/>
          <w:iCs/>
          <w:sz w:val="22"/>
          <w:szCs w:val="22"/>
        </w:rPr>
      </w:pPr>
      <w:r w:rsidRPr="00585666">
        <w:rPr>
          <w:rFonts w:cs="Arial"/>
          <w:b/>
          <w:bCs/>
          <w:i/>
          <w:iCs/>
          <w:sz w:val="22"/>
          <w:szCs w:val="22"/>
        </w:rPr>
        <w:t>I. a III.</w:t>
      </w:r>
      <w:r w:rsidRPr="00585666">
        <w:rPr>
          <w:rFonts w:cs="Arial"/>
          <w:i/>
          <w:iCs/>
          <w:sz w:val="22"/>
          <w:szCs w:val="22"/>
        </w:rPr>
        <w:t xml:space="preserve"> …</w:t>
      </w:r>
    </w:p>
    <w:p w14:paraId="533A92E6" w14:textId="77777777" w:rsidR="00062300" w:rsidRPr="00585666" w:rsidRDefault="00062300" w:rsidP="00062300">
      <w:pPr>
        <w:pStyle w:val="Texto"/>
        <w:spacing w:after="0" w:line="240" w:lineRule="auto"/>
        <w:ind w:firstLine="0"/>
        <w:rPr>
          <w:rFonts w:cs="Arial"/>
          <w:i/>
          <w:iCs/>
          <w:sz w:val="22"/>
          <w:szCs w:val="22"/>
        </w:rPr>
      </w:pPr>
    </w:p>
    <w:p w14:paraId="09226763" w14:textId="77777777" w:rsidR="00062300" w:rsidRPr="00585666" w:rsidRDefault="00062300" w:rsidP="00062300">
      <w:pPr>
        <w:pStyle w:val="Texto"/>
        <w:spacing w:after="0" w:line="240" w:lineRule="auto"/>
        <w:ind w:firstLine="0"/>
        <w:rPr>
          <w:rFonts w:cs="Arial"/>
          <w:sz w:val="22"/>
          <w:szCs w:val="22"/>
        </w:rPr>
      </w:pPr>
      <w:r w:rsidRPr="00585666">
        <w:rPr>
          <w:rFonts w:cs="Arial"/>
          <w:i/>
          <w:iCs/>
          <w:sz w:val="22"/>
          <w:szCs w:val="22"/>
        </w:rPr>
        <w:t>Para efectos de…</w:t>
      </w:r>
    </w:p>
    <w:p w14:paraId="07E4EEAD" w14:textId="77777777" w:rsidR="00062300" w:rsidRPr="00585666" w:rsidRDefault="00062300" w:rsidP="00062300">
      <w:pPr>
        <w:pStyle w:val="Texto"/>
        <w:spacing w:after="0" w:line="240" w:lineRule="auto"/>
        <w:ind w:firstLine="0"/>
        <w:rPr>
          <w:sz w:val="22"/>
          <w:szCs w:val="22"/>
        </w:rPr>
      </w:pPr>
    </w:p>
    <w:p w14:paraId="74A50EAE" w14:textId="77777777" w:rsidR="00062300" w:rsidRPr="00585666" w:rsidRDefault="00062300" w:rsidP="00062300">
      <w:pPr>
        <w:jc w:val="both"/>
        <w:rPr>
          <w:rFonts w:ascii="Arial" w:hAnsi="Arial" w:cs="Arial"/>
          <w:i/>
          <w:iCs/>
        </w:rPr>
      </w:pPr>
      <w:r w:rsidRPr="00585666">
        <w:rPr>
          <w:rFonts w:ascii="Arial" w:hAnsi="Arial" w:cs="Arial"/>
          <w:i/>
          <w:iCs/>
        </w:rPr>
        <w:t xml:space="preserve">Los entes públicos deberán de activar y aplicar los mecanismos e  instrumentos con enfoque de perspectiva de género en la investigación, sustanciación y resolución de faltas administrativas. </w:t>
      </w:r>
    </w:p>
    <w:p w14:paraId="7B310D03" w14:textId="77777777" w:rsidR="00062300" w:rsidRPr="00585666" w:rsidRDefault="00062300" w:rsidP="00062300">
      <w:pPr>
        <w:jc w:val="both"/>
        <w:rPr>
          <w:rFonts w:ascii="Arial" w:hAnsi="Arial" w:cs="Arial"/>
        </w:rPr>
      </w:pPr>
      <w:r w:rsidRPr="00585666">
        <w:rPr>
          <w:rFonts w:ascii="Arial" w:hAnsi="Arial" w:cs="Arial"/>
          <w:b/>
          <w:bCs/>
          <w:i/>
          <w:iCs/>
        </w:rPr>
        <w:t>Artículo 64 Bis.</w:t>
      </w:r>
      <w:r w:rsidRPr="00585666">
        <w:rPr>
          <w:rFonts w:ascii="Arial" w:hAnsi="Arial" w:cs="Arial"/>
        </w:rPr>
        <w:t xml:space="preserve"> </w:t>
      </w:r>
      <w:r w:rsidRPr="00585666">
        <w:rPr>
          <w:rFonts w:ascii="Arial" w:hAnsi="Arial" w:cs="Arial"/>
          <w:i/>
          <w:iCs/>
        </w:rPr>
        <w:t>Comete, incurre o es responsable de hostigamiento sexual aquella persona que con fines lascivos asedie reiteradamente a otra persona, valiéndose de su posición jerárquica derivada de sus relaciones laborales o cualquiera otra que implique subordinación.</w:t>
      </w:r>
    </w:p>
    <w:p w14:paraId="23CD2A32" w14:textId="77777777" w:rsidR="00062300" w:rsidRPr="00585666" w:rsidRDefault="00062300" w:rsidP="00062300">
      <w:pPr>
        <w:jc w:val="both"/>
        <w:rPr>
          <w:rFonts w:ascii="Arial" w:hAnsi="Arial" w:cs="Arial"/>
          <w:i/>
          <w:iCs/>
        </w:rPr>
      </w:pPr>
      <w:r w:rsidRPr="00585666">
        <w:rPr>
          <w:rFonts w:ascii="Arial" w:hAnsi="Arial" w:cs="Arial"/>
          <w:b/>
          <w:bCs/>
          <w:i/>
          <w:iCs/>
        </w:rPr>
        <w:t>Artículo 64 Ter.</w:t>
      </w:r>
      <w:r w:rsidRPr="00585666">
        <w:rPr>
          <w:rFonts w:ascii="Arial" w:hAnsi="Arial" w:cs="Arial"/>
        </w:rPr>
        <w:t xml:space="preserve"> </w:t>
      </w:r>
      <w:r w:rsidRPr="00585666">
        <w:rPr>
          <w:rFonts w:ascii="Arial" w:hAnsi="Arial" w:cs="Arial"/>
          <w:i/>
          <w:iCs/>
        </w:rPr>
        <w:t>Comete, incurre o es responsable de acoso sexual aquella persona que por cualquier medio, apremie o persiga de forma insistente a una persona a pesar de su oposición, para que ejecute un acto de naturaleza sexual, para sí o para un tercero.</w:t>
      </w:r>
    </w:p>
    <w:p w14:paraId="10D88E9E" w14:textId="77777777" w:rsidR="00062300" w:rsidRPr="00585666" w:rsidRDefault="00062300" w:rsidP="00062300">
      <w:pPr>
        <w:jc w:val="both"/>
        <w:rPr>
          <w:rFonts w:ascii="Arial" w:hAnsi="Arial" w:cs="Arial"/>
          <w:b/>
          <w:bCs/>
          <w:i/>
          <w:iCs/>
        </w:rPr>
      </w:pPr>
    </w:p>
    <w:p w14:paraId="5EE3FDB1" w14:textId="77777777" w:rsidR="00062300" w:rsidRPr="00585666" w:rsidRDefault="00062300" w:rsidP="00062300">
      <w:pPr>
        <w:jc w:val="center"/>
        <w:rPr>
          <w:rFonts w:ascii="Arial" w:hAnsi="Arial" w:cs="Arial"/>
          <w:b/>
          <w:bCs/>
          <w:i/>
          <w:iCs/>
        </w:rPr>
      </w:pPr>
      <w:r w:rsidRPr="00585666">
        <w:rPr>
          <w:rFonts w:ascii="Arial" w:hAnsi="Arial" w:cs="Arial"/>
          <w:b/>
          <w:bCs/>
          <w:i/>
          <w:iCs/>
        </w:rPr>
        <w:t>T R A N S I T O R I O</w:t>
      </w:r>
    </w:p>
    <w:p w14:paraId="6B885547" w14:textId="77777777" w:rsidR="00062300" w:rsidRPr="00585666" w:rsidRDefault="00062300" w:rsidP="00062300">
      <w:pPr>
        <w:jc w:val="both"/>
        <w:rPr>
          <w:rFonts w:ascii="Arial" w:hAnsi="Arial" w:cs="Arial"/>
          <w:i/>
          <w:iCs/>
        </w:rPr>
      </w:pPr>
      <w:r w:rsidRPr="00585666">
        <w:rPr>
          <w:rFonts w:ascii="Arial" w:hAnsi="Arial" w:cs="Arial"/>
          <w:b/>
          <w:bCs/>
          <w:i/>
          <w:iCs/>
        </w:rPr>
        <w:t xml:space="preserve">Artículo único. </w:t>
      </w:r>
      <w:r w:rsidRPr="00585666">
        <w:rPr>
          <w:rFonts w:ascii="Arial" w:hAnsi="Arial" w:cs="Arial"/>
          <w:i/>
          <w:iCs/>
        </w:rPr>
        <w:t>El presente Decreto entrará en vigor al día siguiente de su publicación en el Periódico Oficial del Gobierno del Estado de Guanajuato.”</w:t>
      </w:r>
    </w:p>
    <w:p w14:paraId="683C66CC" w14:textId="77777777" w:rsidR="00062300" w:rsidRPr="00585666" w:rsidRDefault="00062300" w:rsidP="00062300">
      <w:pPr>
        <w:spacing w:after="0"/>
        <w:jc w:val="center"/>
        <w:rPr>
          <w:rFonts w:ascii="Arial" w:eastAsia="Calibri" w:hAnsi="Arial" w:cs="Arial"/>
          <w:b/>
        </w:rPr>
      </w:pPr>
    </w:p>
    <w:p w14:paraId="7040906D" w14:textId="77777777" w:rsidR="00062300" w:rsidRPr="00585666" w:rsidRDefault="00062300" w:rsidP="00062300">
      <w:pPr>
        <w:spacing w:after="0" w:line="240" w:lineRule="auto"/>
        <w:rPr>
          <w:rFonts w:ascii="Arial" w:hAnsi="Arial" w:cs="Arial"/>
        </w:rPr>
      </w:pPr>
    </w:p>
    <w:p w14:paraId="77F18A26" w14:textId="77777777" w:rsidR="00062300" w:rsidRPr="00585666" w:rsidRDefault="00062300" w:rsidP="00062300"/>
    <w:p w14:paraId="084DCB05" w14:textId="77777777" w:rsidR="00062300" w:rsidRPr="00585666" w:rsidRDefault="00062300" w:rsidP="00062300"/>
    <w:p w14:paraId="039C4112" w14:textId="51CE1299" w:rsidR="007035BF" w:rsidRPr="00585666" w:rsidRDefault="007035BF"/>
    <w:sectPr w:rsidR="007035BF" w:rsidRPr="00585666" w:rsidSect="00657D60">
      <w:headerReference w:type="default" r:id="rId7"/>
      <w:footerReference w:type="default" r:id="rId8"/>
      <w:pgSz w:w="12240" w:h="15840"/>
      <w:pgMar w:top="1843" w:right="1701" w:bottom="1702" w:left="1276" w:header="567" w:footer="7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D67A22" w14:textId="77777777" w:rsidR="00576AF9" w:rsidRDefault="00576AF9" w:rsidP="00276D8F">
      <w:pPr>
        <w:spacing w:after="0" w:line="240" w:lineRule="auto"/>
      </w:pPr>
      <w:r>
        <w:separator/>
      </w:r>
    </w:p>
  </w:endnote>
  <w:endnote w:type="continuationSeparator" w:id="0">
    <w:p w14:paraId="174593CB" w14:textId="77777777" w:rsidR="00576AF9" w:rsidRDefault="00576AF9" w:rsidP="00276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515763709"/>
      <w:docPartObj>
        <w:docPartGallery w:val="Page Numbers (Bottom of Page)"/>
        <w:docPartUnique/>
      </w:docPartObj>
    </w:sdtPr>
    <w:sdtEndPr>
      <w:rPr>
        <w:rFonts w:cs="Arial"/>
      </w:rPr>
    </w:sdtEndPr>
    <w:sdtContent>
      <w:sdt>
        <w:sdtPr>
          <w:rPr>
            <w:sz w:val="18"/>
            <w:szCs w:val="18"/>
          </w:rPr>
          <w:id w:val="1328249941"/>
          <w:docPartObj>
            <w:docPartGallery w:val="Page Numbers (Top of Page)"/>
            <w:docPartUnique/>
          </w:docPartObj>
        </w:sdtPr>
        <w:sdtEndPr>
          <w:rPr>
            <w:rFonts w:cs="Arial"/>
          </w:rPr>
        </w:sdtEndPr>
        <w:sdtContent>
          <w:p w14:paraId="161EFA5C" w14:textId="4DC95F38" w:rsidR="00925628" w:rsidRPr="00657D60" w:rsidRDefault="00241AA4" w:rsidP="00657D60">
            <w:pPr>
              <w:spacing w:after="0" w:line="259" w:lineRule="auto"/>
            </w:pPr>
            <w:r w:rsidRPr="00DD5A62">
              <w:rPr>
                <w:rFonts w:ascii="Arial" w:hAnsi="Arial" w:cs="Arial"/>
                <w:sz w:val="18"/>
                <w:szCs w:val="18"/>
              </w:rPr>
              <w:t>La presente hoja forma parte del dictamen mediante el cual se aprueb</w:t>
            </w:r>
            <w:r w:rsidR="00DD5A62" w:rsidRPr="00DD5A62">
              <w:rPr>
                <w:rFonts w:ascii="Arial" w:hAnsi="Arial" w:cs="Arial"/>
                <w:sz w:val="18"/>
                <w:szCs w:val="18"/>
              </w:rPr>
              <w:t xml:space="preserve">a la iniciativa de </w:t>
            </w:r>
            <w:r w:rsidR="00FA66BD" w:rsidRPr="00DD5A62">
              <w:rPr>
                <w:rFonts w:ascii="Arial" w:hAnsi="Arial" w:cs="Arial"/>
                <w:sz w:val="18"/>
                <w:szCs w:val="18"/>
              </w:rPr>
              <w:t xml:space="preserve">reformas y </w:t>
            </w:r>
            <w:r w:rsidR="00DD5A62" w:rsidRPr="00DD5A62">
              <w:rPr>
                <w:rFonts w:ascii="Arial" w:hAnsi="Arial" w:cs="Arial"/>
                <w:sz w:val="18"/>
                <w:szCs w:val="18"/>
              </w:rPr>
              <w:t>adiciones a Ley de Responsabilidades Administrativas para el Estado de Guanajuato</w:t>
            </w:r>
            <w:r w:rsidR="00DD5A62">
              <w:rPr>
                <w:rFonts w:ascii="Arial" w:hAnsi="Arial" w:cs="Arial"/>
                <w:sz w:val="18"/>
                <w:szCs w:val="18"/>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FE697B" w14:textId="77777777" w:rsidR="00576AF9" w:rsidRDefault="00576AF9" w:rsidP="00276D8F">
      <w:pPr>
        <w:spacing w:after="0" w:line="240" w:lineRule="auto"/>
      </w:pPr>
      <w:r>
        <w:separator/>
      </w:r>
    </w:p>
  </w:footnote>
  <w:footnote w:type="continuationSeparator" w:id="0">
    <w:p w14:paraId="4D488CCD" w14:textId="77777777" w:rsidR="00576AF9" w:rsidRDefault="00576AF9" w:rsidP="00276D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1518D" w14:textId="77777777" w:rsidR="00925628" w:rsidRDefault="00241AA4" w:rsidP="00925628">
    <w:pPr>
      <w:pStyle w:val="Encabezado"/>
      <w:jc w:val="right"/>
    </w:pPr>
    <w:r w:rsidRPr="000E3756">
      <w:rPr>
        <w:noProof/>
        <w:lang w:eastAsia="es-MX"/>
      </w:rPr>
      <w:drawing>
        <wp:inline distT="0" distB="0" distL="0" distR="0" wp14:anchorId="24DE41F2" wp14:editId="7D949DC1">
          <wp:extent cx="1403930" cy="57912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39337" cy="593725"/>
                  </a:xfrm>
                  <a:prstGeom prst="rect">
                    <a:avLst/>
                  </a:prstGeom>
                  <a:noFill/>
                  <a:ln>
                    <a:noFill/>
                  </a:ln>
                </pic:spPr>
              </pic:pic>
            </a:graphicData>
          </a:graphic>
        </wp:inline>
      </w:drawing>
    </w:r>
  </w:p>
  <w:p w14:paraId="76423436" w14:textId="77777777" w:rsidR="00925628" w:rsidRPr="001F2F71" w:rsidRDefault="00576AF9">
    <w:pPr>
      <w:pStyle w:val="Encabezad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BB0970"/>
    <w:multiLevelType w:val="hybridMultilevel"/>
    <w:tmpl w:val="292276D0"/>
    <w:lvl w:ilvl="0" w:tplc="A490CC9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8CA5946"/>
    <w:multiLevelType w:val="hybridMultilevel"/>
    <w:tmpl w:val="230280BE"/>
    <w:lvl w:ilvl="0" w:tplc="9686303A">
      <w:start w:val="1"/>
      <w:numFmt w:val="upperRoman"/>
      <w:lvlText w:val="%1."/>
      <w:lvlJc w:val="left"/>
      <w:pPr>
        <w:ind w:left="2725" w:hanging="360"/>
      </w:pPr>
      <w:rPr>
        <w:rFonts w:ascii="Verdana" w:hAnsi="Verdana" w:cs="Tahoma" w:hint="default"/>
        <w:b/>
        <w:bCs/>
        <w:i w:val="0"/>
        <w:snapToGrid/>
        <w:spacing w:val="-5"/>
        <w:sz w:val="22"/>
        <w:szCs w:val="22"/>
      </w:rPr>
    </w:lvl>
    <w:lvl w:ilvl="1" w:tplc="080A0019" w:tentative="1">
      <w:start w:val="1"/>
      <w:numFmt w:val="lowerLetter"/>
      <w:lvlText w:val="%2."/>
      <w:lvlJc w:val="left"/>
      <w:pPr>
        <w:ind w:left="3445" w:hanging="360"/>
      </w:pPr>
    </w:lvl>
    <w:lvl w:ilvl="2" w:tplc="080A001B">
      <w:start w:val="1"/>
      <w:numFmt w:val="lowerRoman"/>
      <w:lvlText w:val="%3."/>
      <w:lvlJc w:val="right"/>
      <w:pPr>
        <w:ind w:left="4165" w:hanging="180"/>
      </w:pPr>
    </w:lvl>
    <w:lvl w:ilvl="3" w:tplc="080A000F" w:tentative="1">
      <w:start w:val="1"/>
      <w:numFmt w:val="decimal"/>
      <w:lvlText w:val="%4."/>
      <w:lvlJc w:val="left"/>
      <w:pPr>
        <w:ind w:left="4885" w:hanging="360"/>
      </w:pPr>
    </w:lvl>
    <w:lvl w:ilvl="4" w:tplc="080A0019" w:tentative="1">
      <w:start w:val="1"/>
      <w:numFmt w:val="lowerLetter"/>
      <w:lvlText w:val="%5."/>
      <w:lvlJc w:val="left"/>
      <w:pPr>
        <w:ind w:left="5605" w:hanging="360"/>
      </w:pPr>
    </w:lvl>
    <w:lvl w:ilvl="5" w:tplc="080A001B" w:tentative="1">
      <w:start w:val="1"/>
      <w:numFmt w:val="lowerRoman"/>
      <w:lvlText w:val="%6."/>
      <w:lvlJc w:val="right"/>
      <w:pPr>
        <w:ind w:left="6325" w:hanging="180"/>
      </w:pPr>
    </w:lvl>
    <w:lvl w:ilvl="6" w:tplc="080A000F" w:tentative="1">
      <w:start w:val="1"/>
      <w:numFmt w:val="decimal"/>
      <w:lvlText w:val="%7."/>
      <w:lvlJc w:val="left"/>
      <w:pPr>
        <w:ind w:left="7045" w:hanging="360"/>
      </w:pPr>
    </w:lvl>
    <w:lvl w:ilvl="7" w:tplc="080A0019" w:tentative="1">
      <w:start w:val="1"/>
      <w:numFmt w:val="lowerLetter"/>
      <w:lvlText w:val="%8."/>
      <w:lvlJc w:val="left"/>
      <w:pPr>
        <w:ind w:left="7765" w:hanging="360"/>
      </w:pPr>
    </w:lvl>
    <w:lvl w:ilvl="8" w:tplc="080A001B" w:tentative="1">
      <w:start w:val="1"/>
      <w:numFmt w:val="lowerRoman"/>
      <w:lvlText w:val="%9."/>
      <w:lvlJc w:val="right"/>
      <w:pPr>
        <w:ind w:left="8485" w:hanging="180"/>
      </w:pPr>
    </w:lvl>
  </w:abstractNum>
  <w:abstractNum w:abstractNumId="2" w15:restartNumberingAfterBreak="0">
    <w:nsid w:val="3E9E7ADB"/>
    <w:multiLevelType w:val="hybridMultilevel"/>
    <w:tmpl w:val="B2A851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E005D68"/>
    <w:multiLevelType w:val="hybridMultilevel"/>
    <w:tmpl w:val="5C14D262"/>
    <w:lvl w:ilvl="0" w:tplc="9686303A">
      <w:start w:val="1"/>
      <w:numFmt w:val="upperRoman"/>
      <w:lvlText w:val="%1."/>
      <w:lvlJc w:val="left"/>
      <w:pPr>
        <w:ind w:left="2725" w:hanging="360"/>
      </w:pPr>
      <w:rPr>
        <w:rFonts w:ascii="Verdana" w:hAnsi="Verdana" w:cs="Tahoma" w:hint="default"/>
        <w:b/>
        <w:bCs/>
        <w:i w:val="0"/>
        <w:snapToGrid/>
        <w:spacing w:val="-5"/>
        <w:sz w:val="22"/>
        <w:szCs w:val="22"/>
      </w:rPr>
    </w:lvl>
    <w:lvl w:ilvl="1" w:tplc="080A0019" w:tentative="1">
      <w:start w:val="1"/>
      <w:numFmt w:val="lowerLetter"/>
      <w:lvlText w:val="%2."/>
      <w:lvlJc w:val="left"/>
      <w:pPr>
        <w:ind w:left="3445" w:hanging="360"/>
      </w:pPr>
    </w:lvl>
    <w:lvl w:ilvl="2" w:tplc="080A001B" w:tentative="1">
      <w:start w:val="1"/>
      <w:numFmt w:val="lowerRoman"/>
      <w:lvlText w:val="%3."/>
      <w:lvlJc w:val="right"/>
      <w:pPr>
        <w:ind w:left="4165" w:hanging="180"/>
      </w:pPr>
    </w:lvl>
    <w:lvl w:ilvl="3" w:tplc="080A000F" w:tentative="1">
      <w:start w:val="1"/>
      <w:numFmt w:val="decimal"/>
      <w:lvlText w:val="%4."/>
      <w:lvlJc w:val="left"/>
      <w:pPr>
        <w:ind w:left="4885" w:hanging="360"/>
      </w:pPr>
    </w:lvl>
    <w:lvl w:ilvl="4" w:tplc="080A0019" w:tentative="1">
      <w:start w:val="1"/>
      <w:numFmt w:val="lowerLetter"/>
      <w:lvlText w:val="%5."/>
      <w:lvlJc w:val="left"/>
      <w:pPr>
        <w:ind w:left="5605" w:hanging="360"/>
      </w:pPr>
    </w:lvl>
    <w:lvl w:ilvl="5" w:tplc="080A001B" w:tentative="1">
      <w:start w:val="1"/>
      <w:numFmt w:val="lowerRoman"/>
      <w:lvlText w:val="%6."/>
      <w:lvlJc w:val="right"/>
      <w:pPr>
        <w:ind w:left="6325" w:hanging="180"/>
      </w:pPr>
    </w:lvl>
    <w:lvl w:ilvl="6" w:tplc="080A000F" w:tentative="1">
      <w:start w:val="1"/>
      <w:numFmt w:val="decimal"/>
      <w:lvlText w:val="%7."/>
      <w:lvlJc w:val="left"/>
      <w:pPr>
        <w:ind w:left="7045" w:hanging="360"/>
      </w:pPr>
    </w:lvl>
    <w:lvl w:ilvl="7" w:tplc="080A0019" w:tentative="1">
      <w:start w:val="1"/>
      <w:numFmt w:val="lowerLetter"/>
      <w:lvlText w:val="%8."/>
      <w:lvlJc w:val="left"/>
      <w:pPr>
        <w:ind w:left="7765" w:hanging="360"/>
      </w:pPr>
    </w:lvl>
    <w:lvl w:ilvl="8" w:tplc="080A001B" w:tentative="1">
      <w:start w:val="1"/>
      <w:numFmt w:val="lowerRoman"/>
      <w:lvlText w:val="%9."/>
      <w:lvlJc w:val="right"/>
      <w:pPr>
        <w:ind w:left="8485"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5BF"/>
    <w:rsid w:val="000309B3"/>
    <w:rsid w:val="0005143C"/>
    <w:rsid w:val="00052AF2"/>
    <w:rsid w:val="00062300"/>
    <w:rsid w:val="00070518"/>
    <w:rsid w:val="000C4445"/>
    <w:rsid w:val="000C6B0F"/>
    <w:rsid w:val="000D5E41"/>
    <w:rsid w:val="000F41B8"/>
    <w:rsid w:val="000F5B23"/>
    <w:rsid w:val="00104AAC"/>
    <w:rsid w:val="001138E8"/>
    <w:rsid w:val="00133456"/>
    <w:rsid w:val="001C02A8"/>
    <w:rsid w:val="001C40AB"/>
    <w:rsid w:val="001E1763"/>
    <w:rsid w:val="001F4300"/>
    <w:rsid w:val="001F7CB1"/>
    <w:rsid w:val="0023443D"/>
    <w:rsid w:val="00241AA4"/>
    <w:rsid w:val="002543FC"/>
    <w:rsid w:val="00267517"/>
    <w:rsid w:val="00276D8F"/>
    <w:rsid w:val="0028293C"/>
    <w:rsid w:val="00293126"/>
    <w:rsid w:val="002934E6"/>
    <w:rsid w:val="00293DDA"/>
    <w:rsid w:val="002977FB"/>
    <w:rsid w:val="00300F37"/>
    <w:rsid w:val="0030723C"/>
    <w:rsid w:val="00354C3D"/>
    <w:rsid w:val="00375934"/>
    <w:rsid w:val="00393DD7"/>
    <w:rsid w:val="003A4193"/>
    <w:rsid w:val="003F6610"/>
    <w:rsid w:val="003F7201"/>
    <w:rsid w:val="00403574"/>
    <w:rsid w:val="00406F09"/>
    <w:rsid w:val="00442257"/>
    <w:rsid w:val="00452840"/>
    <w:rsid w:val="004728B7"/>
    <w:rsid w:val="00481DDF"/>
    <w:rsid w:val="004E4F14"/>
    <w:rsid w:val="004E5348"/>
    <w:rsid w:val="004E7C68"/>
    <w:rsid w:val="004F3F08"/>
    <w:rsid w:val="00537AB2"/>
    <w:rsid w:val="0055015C"/>
    <w:rsid w:val="00576AF9"/>
    <w:rsid w:val="00585666"/>
    <w:rsid w:val="00593224"/>
    <w:rsid w:val="00595134"/>
    <w:rsid w:val="005C79D1"/>
    <w:rsid w:val="005F1273"/>
    <w:rsid w:val="005F1892"/>
    <w:rsid w:val="00616CAA"/>
    <w:rsid w:val="0061746D"/>
    <w:rsid w:val="006446AC"/>
    <w:rsid w:val="00655140"/>
    <w:rsid w:val="0066056C"/>
    <w:rsid w:val="00670939"/>
    <w:rsid w:val="006917CF"/>
    <w:rsid w:val="006A1AF4"/>
    <w:rsid w:val="006B02B0"/>
    <w:rsid w:val="006B0DA9"/>
    <w:rsid w:val="007035BF"/>
    <w:rsid w:val="0071194C"/>
    <w:rsid w:val="0071691B"/>
    <w:rsid w:val="00724363"/>
    <w:rsid w:val="00740EB0"/>
    <w:rsid w:val="00773C51"/>
    <w:rsid w:val="0077427C"/>
    <w:rsid w:val="00787854"/>
    <w:rsid w:val="0079302D"/>
    <w:rsid w:val="007C47C0"/>
    <w:rsid w:val="007D2526"/>
    <w:rsid w:val="007F5E2D"/>
    <w:rsid w:val="0080133D"/>
    <w:rsid w:val="00821F7E"/>
    <w:rsid w:val="00824BA3"/>
    <w:rsid w:val="00851B6D"/>
    <w:rsid w:val="00857714"/>
    <w:rsid w:val="0088107C"/>
    <w:rsid w:val="008E5F28"/>
    <w:rsid w:val="009010F0"/>
    <w:rsid w:val="0090454A"/>
    <w:rsid w:val="00912BFF"/>
    <w:rsid w:val="00931C20"/>
    <w:rsid w:val="00977092"/>
    <w:rsid w:val="009812F5"/>
    <w:rsid w:val="00981A38"/>
    <w:rsid w:val="009A2090"/>
    <w:rsid w:val="009A5562"/>
    <w:rsid w:val="009D7CDC"/>
    <w:rsid w:val="00A6005C"/>
    <w:rsid w:val="00A6535B"/>
    <w:rsid w:val="00A957E3"/>
    <w:rsid w:val="00A975C5"/>
    <w:rsid w:val="00AB3466"/>
    <w:rsid w:val="00AC4B9D"/>
    <w:rsid w:val="00AF3284"/>
    <w:rsid w:val="00B0181B"/>
    <w:rsid w:val="00B13632"/>
    <w:rsid w:val="00B15155"/>
    <w:rsid w:val="00B15C51"/>
    <w:rsid w:val="00B5732A"/>
    <w:rsid w:val="00B74314"/>
    <w:rsid w:val="00B95529"/>
    <w:rsid w:val="00B957DA"/>
    <w:rsid w:val="00BC0D1C"/>
    <w:rsid w:val="00BD2915"/>
    <w:rsid w:val="00BD3E07"/>
    <w:rsid w:val="00BD5A27"/>
    <w:rsid w:val="00BE73A5"/>
    <w:rsid w:val="00BF76F4"/>
    <w:rsid w:val="00C21173"/>
    <w:rsid w:val="00C62A81"/>
    <w:rsid w:val="00C94D47"/>
    <w:rsid w:val="00C968D1"/>
    <w:rsid w:val="00CB0B62"/>
    <w:rsid w:val="00CB0F3F"/>
    <w:rsid w:val="00CF25D7"/>
    <w:rsid w:val="00D054B9"/>
    <w:rsid w:val="00D07818"/>
    <w:rsid w:val="00D177AA"/>
    <w:rsid w:val="00D23B9F"/>
    <w:rsid w:val="00D85069"/>
    <w:rsid w:val="00DB7EB7"/>
    <w:rsid w:val="00DD5379"/>
    <w:rsid w:val="00DD57B0"/>
    <w:rsid w:val="00DD5A62"/>
    <w:rsid w:val="00E0348B"/>
    <w:rsid w:val="00E039C7"/>
    <w:rsid w:val="00E1799A"/>
    <w:rsid w:val="00E3293B"/>
    <w:rsid w:val="00E43C74"/>
    <w:rsid w:val="00E65253"/>
    <w:rsid w:val="00E72E57"/>
    <w:rsid w:val="00E75BFA"/>
    <w:rsid w:val="00E8042F"/>
    <w:rsid w:val="00E854C8"/>
    <w:rsid w:val="00E977F4"/>
    <w:rsid w:val="00F036E5"/>
    <w:rsid w:val="00F16636"/>
    <w:rsid w:val="00F260A8"/>
    <w:rsid w:val="00F44085"/>
    <w:rsid w:val="00F656FE"/>
    <w:rsid w:val="00F6639C"/>
    <w:rsid w:val="00F87686"/>
    <w:rsid w:val="00F95AA4"/>
    <w:rsid w:val="00FA5A72"/>
    <w:rsid w:val="00FA66BD"/>
    <w:rsid w:val="00FC4E01"/>
    <w:rsid w:val="00FD421F"/>
    <w:rsid w:val="00FE478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0CBB1"/>
  <w15:chartTrackingRefBased/>
  <w15:docId w15:val="{4EC9321B-D07A-407C-BAB7-3D274E496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35BF"/>
    <w:pPr>
      <w:spacing w:after="200" w:line="276" w:lineRule="auto"/>
    </w:pPr>
  </w:style>
  <w:style w:type="paragraph" w:styleId="Ttulo1">
    <w:name w:val="heading 1"/>
    <w:next w:val="Normal"/>
    <w:link w:val="Ttulo1Car"/>
    <w:uiPriority w:val="9"/>
    <w:unhideWhenUsed/>
    <w:qFormat/>
    <w:rsid w:val="007035BF"/>
    <w:pPr>
      <w:keepNext/>
      <w:keepLines/>
      <w:spacing w:after="0"/>
      <w:ind w:left="10" w:hanging="10"/>
      <w:jc w:val="center"/>
      <w:outlineLvl w:val="0"/>
    </w:pPr>
    <w:rPr>
      <w:rFonts w:ascii="Arial" w:eastAsia="Arial" w:hAnsi="Arial" w:cs="Arial"/>
      <w:b/>
      <w:color w:val="000000"/>
      <w:sz w:val="2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035BF"/>
    <w:rPr>
      <w:rFonts w:ascii="Arial" w:eastAsia="Arial" w:hAnsi="Arial" w:cs="Arial"/>
      <w:b/>
      <w:color w:val="000000"/>
      <w:sz w:val="28"/>
      <w:lang w:eastAsia="es-MX"/>
    </w:rPr>
  </w:style>
  <w:style w:type="paragraph" w:styleId="Encabezado">
    <w:name w:val="header"/>
    <w:basedOn w:val="Normal"/>
    <w:link w:val="EncabezadoCar"/>
    <w:uiPriority w:val="99"/>
    <w:unhideWhenUsed/>
    <w:rsid w:val="007035B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035BF"/>
  </w:style>
  <w:style w:type="paragraph" w:styleId="Prrafodelista">
    <w:name w:val="List Paragraph"/>
    <w:aliases w:val="viñeta,Párrafo de lista 2"/>
    <w:basedOn w:val="Normal"/>
    <w:link w:val="PrrafodelistaCar"/>
    <w:uiPriority w:val="34"/>
    <w:qFormat/>
    <w:rsid w:val="007035BF"/>
    <w:pPr>
      <w:spacing w:after="1" w:line="249" w:lineRule="auto"/>
      <w:ind w:left="720" w:right="92" w:hanging="10"/>
      <w:contextualSpacing/>
      <w:jc w:val="both"/>
    </w:pPr>
    <w:rPr>
      <w:rFonts w:ascii="Arial" w:eastAsia="Arial" w:hAnsi="Arial" w:cs="Arial"/>
      <w:color w:val="000000"/>
      <w:sz w:val="28"/>
      <w:lang w:eastAsia="es-MX"/>
    </w:rPr>
  </w:style>
  <w:style w:type="paragraph" w:styleId="Sinespaciado">
    <w:name w:val="No Spacing"/>
    <w:link w:val="SinespaciadoCar"/>
    <w:uiPriority w:val="1"/>
    <w:qFormat/>
    <w:rsid w:val="007035BF"/>
    <w:pPr>
      <w:spacing w:after="0" w:line="240" w:lineRule="auto"/>
      <w:ind w:left="10" w:right="92" w:hanging="10"/>
      <w:jc w:val="both"/>
    </w:pPr>
    <w:rPr>
      <w:rFonts w:ascii="Arial" w:eastAsia="Arial" w:hAnsi="Arial" w:cs="Arial"/>
      <w:color w:val="000000"/>
      <w:sz w:val="28"/>
      <w:lang w:eastAsia="es-MX"/>
    </w:rPr>
  </w:style>
  <w:style w:type="character" w:customStyle="1" w:styleId="PrrafodelistaCar">
    <w:name w:val="Párrafo de lista Car"/>
    <w:aliases w:val="viñeta Car,Párrafo de lista 2 Car"/>
    <w:link w:val="Prrafodelista"/>
    <w:uiPriority w:val="34"/>
    <w:rsid w:val="007035BF"/>
    <w:rPr>
      <w:rFonts w:ascii="Arial" w:eastAsia="Arial" w:hAnsi="Arial" w:cs="Arial"/>
      <w:color w:val="000000"/>
      <w:sz w:val="28"/>
      <w:lang w:eastAsia="es-MX"/>
    </w:rPr>
  </w:style>
  <w:style w:type="character" w:customStyle="1" w:styleId="SinespaciadoCar">
    <w:name w:val="Sin espaciado Car"/>
    <w:link w:val="Sinespaciado"/>
    <w:uiPriority w:val="1"/>
    <w:locked/>
    <w:rsid w:val="007035BF"/>
    <w:rPr>
      <w:rFonts w:ascii="Arial" w:eastAsia="Arial" w:hAnsi="Arial" w:cs="Arial"/>
      <w:color w:val="000000"/>
      <w:sz w:val="28"/>
      <w:lang w:eastAsia="es-MX"/>
    </w:rPr>
  </w:style>
  <w:style w:type="paragraph" w:styleId="Piedepgina">
    <w:name w:val="footer"/>
    <w:basedOn w:val="Normal"/>
    <w:link w:val="PiedepginaCar"/>
    <w:uiPriority w:val="99"/>
    <w:unhideWhenUsed/>
    <w:rsid w:val="00276D8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76D8F"/>
  </w:style>
  <w:style w:type="character" w:styleId="Hipervnculo">
    <w:name w:val="Hyperlink"/>
    <w:basedOn w:val="Fuentedeprrafopredeter"/>
    <w:uiPriority w:val="99"/>
    <w:unhideWhenUsed/>
    <w:rsid w:val="00D85069"/>
    <w:rPr>
      <w:color w:val="0563C1" w:themeColor="hyperlink"/>
      <w:u w:val="single"/>
    </w:rPr>
  </w:style>
  <w:style w:type="character" w:styleId="Mencinsinresolver">
    <w:name w:val="Unresolved Mention"/>
    <w:basedOn w:val="Fuentedeprrafopredeter"/>
    <w:uiPriority w:val="99"/>
    <w:semiHidden/>
    <w:unhideWhenUsed/>
    <w:rsid w:val="00D85069"/>
    <w:rPr>
      <w:color w:val="605E5C"/>
      <w:shd w:val="clear" w:color="auto" w:fill="E1DFDD"/>
    </w:rPr>
  </w:style>
  <w:style w:type="paragraph" w:customStyle="1" w:styleId="Texto">
    <w:name w:val="Texto"/>
    <w:basedOn w:val="Normal"/>
    <w:link w:val="TextoCar"/>
    <w:rsid w:val="00981A38"/>
    <w:pPr>
      <w:spacing w:after="101" w:line="216" w:lineRule="exact"/>
      <w:ind w:firstLine="288"/>
      <w:jc w:val="both"/>
    </w:pPr>
    <w:rPr>
      <w:rFonts w:ascii="Arial" w:eastAsia="Times New Roman" w:hAnsi="Arial" w:cs="Times New Roman"/>
      <w:sz w:val="18"/>
      <w:szCs w:val="18"/>
      <w:lang w:eastAsia="es-MX"/>
    </w:rPr>
  </w:style>
  <w:style w:type="character" w:customStyle="1" w:styleId="TextoCar">
    <w:name w:val="Texto Car"/>
    <w:link w:val="Texto"/>
    <w:locked/>
    <w:rsid w:val="00981A38"/>
    <w:rPr>
      <w:rFonts w:ascii="Arial" w:eastAsia="Times New Roman" w:hAnsi="Arial" w:cs="Times New Roman"/>
      <w:sz w:val="18"/>
      <w:szCs w:val="18"/>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2764</Words>
  <Characters>15208</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L</dc:creator>
  <cp:keywords/>
  <dc:description/>
  <cp:lastModifiedBy>Karina Vázquez Lugo</cp:lastModifiedBy>
  <cp:revision>2</cp:revision>
  <cp:lastPrinted>2021-03-09T17:12:00Z</cp:lastPrinted>
  <dcterms:created xsi:type="dcterms:W3CDTF">2021-03-09T17:51:00Z</dcterms:created>
  <dcterms:modified xsi:type="dcterms:W3CDTF">2021-03-09T17:51:00Z</dcterms:modified>
</cp:coreProperties>
</file>