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641" w:rsidRPr="00BF0C6F" w:rsidRDefault="00854641" w:rsidP="00192F1A">
      <w:pPr>
        <w:pStyle w:val="Ttulo1"/>
        <w:spacing w:before="0" w:after="0"/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>H. AYUNTAMIENTO DE LEÓN, GUANAJUATO</w:t>
      </w:r>
    </w:p>
    <w:p w:rsidR="00854641" w:rsidRPr="00BF0C6F" w:rsidRDefault="00854641" w:rsidP="00192F1A">
      <w:pPr>
        <w:jc w:val="both"/>
        <w:rPr>
          <w:rFonts w:cs="Arial"/>
          <w:b/>
          <w:sz w:val="22"/>
          <w:szCs w:val="22"/>
          <w:lang w:val="es-MX"/>
        </w:rPr>
      </w:pPr>
      <w:r w:rsidRPr="00BF0C6F">
        <w:rPr>
          <w:rFonts w:cs="Arial"/>
          <w:b/>
          <w:sz w:val="22"/>
          <w:szCs w:val="22"/>
          <w:lang w:val="es-MX"/>
        </w:rPr>
        <w:t>P R E S E N T E.</w:t>
      </w:r>
    </w:p>
    <w:p w:rsidR="00854641" w:rsidRPr="00BF0C6F" w:rsidRDefault="00854641" w:rsidP="00192F1A">
      <w:pPr>
        <w:jc w:val="both"/>
        <w:rPr>
          <w:rFonts w:cs="Arial"/>
          <w:sz w:val="22"/>
          <w:szCs w:val="22"/>
        </w:rPr>
      </w:pPr>
    </w:p>
    <w:p w:rsidR="00854641" w:rsidRDefault="000503F2" w:rsidP="00192F1A">
      <w:pPr>
        <w:tabs>
          <w:tab w:val="left" w:pos="1134"/>
        </w:tabs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 xml:space="preserve">El que suscribe Lic. Héctor Germán René López Santillana, Presidente Municipal, de esta ciudad, con fundamento en los artículos </w:t>
      </w:r>
      <w:r w:rsidR="00607012" w:rsidRPr="00BF0C6F">
        <w:rPr>
          <w:rFonts w:cs="Arial"/>
          <w:sz w:val="22"/>
          <w:szCs w:val="22"/>
        </w:rPr>
        <w:t>77 fracción XXVI</w:t>
      </w:r>
      <w:r w:rsidRPr="00BF0C6F">
        <w:rPr>
          <w:rFonts w:cs="Arial"/>
          <w:sz w:val="22"/>
          <w:szCs w:val="22"/>
        </w:rPr>
        <w:t xml:space="preserve"> de la Ley Orgánica Municipal p</w:t>
      </w:r>
      <w:r w:rsidR="007604A5" w:rsidRPr="00BF0C6F">
        <w:rPr>
          <w:rFonts w:cs="Arial"/>
          <w:sz w:val="22"/>
          <w:szCs w:val="22"/>
        </w:rPr>
        <w:t>ara el Estado de Guanajuato,</w:t>
      </w:r>
      <w:r w:rsidR="00615BC9" w:rsidRPr="00BF0C6F">
        <w:rPr>
          <w:rFonts w:cs="Arial"/>
          <w:sz w:val="22"/>
          <w:szCs w:val="22"/>
        </w:rPr>
        <w:t xml:space="preserve"> y 26</w:t>
      </w:r>
      <w:r w:rsidRPr="00BF0C6F">
        <w:rPr>
          <w:rFonts w:cs="Arial"/>
          <w:sz w:val="22"/>
          <w:szCs w:val="22"/>
        </w:rPr>
        <w:t xml:space="preserve"> </w:t>
      </w:r>
      <w:r w:rsidR="001B42D7" w:rsidRPr="00BF0C6F">
        <w:rPr>
          <w:rFonts w:cs="Arial"/>
          <w:sz w:val="22"/>
          <w:szCs w:val="22"/>
        </w:rPr>
        <w:t xml:space="preserve">segundo párrafo </w:t>
      </w:r>
      <w:r w:rsidRPr="00BF0C6F">
        <w:rPr>
          <w:rFonts w:cs="Arial"/>
          <w:sz w:val="22"/>
          <w:szCs w:val="22"/>
        </w:rPr>
        <w:t xml:space="preserve">del Reglamento de Justicia </w:t>
      </w:r>
      <w:r w:rsidR="00615BC9" w:rsidRPr="00BF0C6F">
        <w:rPr>
          <w:rFonts w:cs="Arial"/>
          <w:sz w:val="22"/>
          <w:szCs w:val="22"/>
        </w:rPr>
        <w:t>Cívica para el Municipio de</w:t>
      </w:r>
      <w:r w:rsidRPr="00BF0C6F">
        <w:rPr>
          <w:rFonts w:cs="Arial"/>
          <w:sz w:val="22"/>
          <w:szCs w:val="22"/>
        </w:rPr>
        <w:t xml:space="preserve"> León,</w:t>
      </w:r>
      <w:r w:rsidR="00EE0902" w:rsidRPr="00BF0C6F">
        <w:rPr>
          <w:rFonts w:cs="Arial"/>
          <w:sz w:val="22"/>
          <w:szCs w:val="22"/>
        </w:rPr>
        <w:t xml:space="preserve"> Guanajuato</w:t>
      </w:r>
      <w:r w:rsidRPr="00BF0C6F">
        <w:rPr>
          <w:rFonts w:cs="Arial"/>
          <w:sz w:val="22"/>
          <w:szCs w:val="22"/>
        </w:rPr>
        <w:t xml:space="preserve">, someto a consideración de este cuerpo edilicio la propuesta de </w:t>
      </w:r>
      <w:r w:rsidR="007604A5" w:rsidRPr="00BF0C6F">
        <w:rPr>
          <w:rFonts w:cs="Arial"/>
          <w:sz w:val="22"/>
          <w:szCs w:val="22"/>
        </w:rPr>
        <w:t>las personas que ocuparán el cargo de Jueces Cívicos</w:t>
      </w:r>
      <w:r w:rsidR="00854641" w:rsidRPr="00BF0C6F">
        <w:rPr>
          <w:rFonts w:cs="Arial"/>
          <w:sz w:val="22"/>
          <w:szCs w:val="22"/>
        </w:rPr>
        <w:t xml:space="preserve">, con base en las siguientes: </w:t>
      </w:r>
    </w:p>
    <w:p w:rsidR="00BF0C6F" w:rsidRDefault="00BF0C6F" w:rsidP="00192F1A">
      <w:pPr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BF0C6F" w:rsidRPr="00BF0C6F" w:rsidRDefault="00BF0C6F" w:rsidP="00BF0C6F">
      <w:pPr>
        <w:pStyle w:val="Ttulo1"/>
        <w:spacing w:before="0" w:after="0"/>
        <w:jc w:val="center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>C O N S I D E R A C I O N E S</w:t>
      </w:r>
    </w:p>
    <w:p w:rsidR="00BF0C6F" w:rsidRPr="00BF0C6F" w:rsidRDefault="00BF0C6F" w:rsidP="00192F1A">
      <w:pPr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BF0C6F" w:rsidRPr="00BF0C6F" w:rsidRDefault="00BF0C6F" w:rsidP="00BF0C6F">
      <w:pPr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 xml:space="preserve">La Justicia Cívica permite atender de manera rápida y ágil los conflictos entre ciudadanos derivados de la convivencia cotidiana, evita que éstos escalen y facilita su resolución pacífica. </w:t>
      </w:r>
    </w:p>
    <w:p w:rsidR="00BF0C6F" w:rsidRPr="00BF0C6F" w:rsidRDefault="00BF0C6F" w:rsidP="00BF0C6F">
      <w:pPr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 xml:space="preserve">Se trata de una política pública de prevención del delito, pues evita que los conflictos deriven en conductas violentas o delictivas, fomentando la cultura de la paz. Asimismo, procura que las faltas administrativas y conductas antisociales tengan sanciones a favor de la comunidad para que el infractor reconozca el daño social que causa y lo restituya. </w:t>
      </w:r>
    </w:p>
    <w:p w:rsidR="00BF0C6F" w:rsidRDefault="00BF0C6F" w:rsidP="00BF0C6F">
      <w:pPr>
        <w:jc w:val="both"/>
        <w:rPr>
          <w:rFonts w:cs="Arial"/>
          <w:sz w:val="22"/>
          <w:szCs w:val="22"/>
        </w:rPr>
      </w:pPr>
    </w:p>
    <w:p w:rsidR="00BF0C6F" w:rsidRPr="00BF0C6F" w:rsidRDefault="00BF0C6F" w:rsidP="00BF0C6F">
      <w:pPr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 xml:space="preserve">Esto es conforme a lo que ha dispuesto el Secretariado Ejecutivo del Sistema Nacional de Seguridad Pública. </w:t>
      </w:r>
    </w:p>
    <w:p w:rsidR="00BF0C6F" w:rsidRDefault="00BF0C6F" w:rsidP="00BF0C6F">
      <w:pPr>
        <w:jc w:val="both"/>
        <w:rPr>
          <w:rFonts w:cs="Arial"/>
          <w:sz w:val="22"/>
          <w:szCs w:val="22"/>
        </w:rPr>
      </w:pPr>
    </w:p>
    <w:p w:rsidR="00BF0C6F" w:rsidRPr="00BF0C6F" w:rsidRDefault="00BF0C6F" w:rsidP="00BF0C6F">
      <w:pPr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 xml:space="preserve">Por tal motivo, la presente Administración consideró oportuna la implementación y creación del Reglamento de Justicia Cívica para el Municipio de León, Guanajuato, aprobado por unanimidad del Ayuntamiento en fecha 9 de mayo del 2019. </w:t>
      </w:r>
    </w:p>
    <w:p w:rsidR="00BF0C6F" w:rsidRDefault="00BF0C6F" w:rsidP="00BF0C6F">
      <w:pPr>
        <w:jc w:val="both"/>
        <w:rPr>
          <w:rFonts w:cs="Arial"/>
          <w:sz w:val="22"/>
          <w:szCs w:val="22"/>
        </w:rPr>
      </w:pPr>
    </w:p>
    <w:p w:rsidR="00BF0C6F" w:rsidRPr="00BF0C6F" w:rsidRDefault="00BF0C6F" w:rsidP="00BF0C6F">
      <w:pPr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 xml:space="preserve">Para el cumplimiento de los fines en la aplicación de la justicia cívica, </w:t>
      </w:r>
      <w:r w:rsidR="0076630A">
        <w:rPr>
          <w:rFonts w:cs="Arial"/>
          <w:sz w:val="22"/>
          <w:szCs w:val="22"/>
        </w:rPr>
        <w:t>quien garantiza</w:t>
      </w:r>
      <w:bookmarkStart w:id="0" w:name="_GoBack"/>
      <w:bookmarkEnd w:id="0"/>
      <w:r w:rsidRPr="00BF0C6F">
        <w:rPr>
          <w:rFonts w:cs="Arial"/>
          <w:sz w:val="22"/>
          <w:szCs w:val="22"/>
        </w:rPr>
        <w:t xml:space="preserve"> el acceso a dicha impartición es el órgano desconcentrado denominado Juzgado Cívico, encargado de la aplicación de sanciones a los infractores, y de otorgarles la posibilidad de realizar actividades de trabajo en favor de la comunidad, buscando un correctivo real con acciones ejemplares como medio de integración y reincorporación a la sociedad.</w:t>
      </w:r>
    </w:p>
    <w:p w:rsidR="00BF0C6F" w:rsidRDefault="00BF0C6F" w:rsidP="00BF0C6F">
      <w:pPr>
        <w:jc w:val="both"/>
        <w:rPr>
          <w:rFonts w:cs="Arial"/>
          <w:sz w:val="22"/>
          <w:szCs w:val="22"/>
        </w:rPr>
      </w:pPr>
    </w:p>
    <w:p w:rsidR="00BF0C6F" w:rsidRPr="00BF0C6F" w:rsidRDefault="00BF0C6F" w:rsidP="00BF0C6F">
      <w:pPr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>En este orden, y con apego a lo señalado en el artículo 44 del citado Reglamento, la Unidad de Profesionalización del Juzgado Cívico lanzó una convocatoria para cubrir las 11 once vacantes de Titulares, tenien</w:t>
      </w:r>
      <w:r w:rsidR="0066181B">
        <w:rPr>
          <w:rFonts w:cs="Arial"/>
          <w:sz w:val="22"/>
          <w:szCs w:val="22"/>
        </w:rPr>
        <w:t>do como respuesta un total de 56</w:t>
      </w:r>
      <w:r w:rsidRPr="00BF0C6F">
        <w:rPr>
          <w:rFonts w:cs="Arial"/>
          <w:sz w:val="22"/>
          <w:szCs w:val="22"/>
        </w:rPr>
        <w:t xml:space="preserve"> participantes</w:t>
      </w:r>
      <w:r w:rsidR="0066181B">
        <w:rPr>
          <w:rFonts w:cs="Arial"/>
          <w:sz w:val="22"/>
          <w:szCs w:val="22"/>
        </w:rPr>
        <w:t>, de los cuales solo 40 reunieron los requisitos</w:t>
      </w:r>
      <w:r w:rsidRPr="00BF0C6F">
        <w:rPr>
          <w:rFonts w:cs="Arial"/>
          <w:sz w:val="22"/>
          <w:szCs w:val="22"/>
        </w:rPr>
        <w:t xml:space="preserve">.  </w:t>
      </w:r>
    </w:p>
    <w:p w:rsidR="00BF0C6F" w:rsidRDefault="00BF0C6F" w:rsidP="00BF0C6F">
      <w:pPr>
        <w:jc w:val="both"/>
        <w:rPr>
          <w:rFonts w:cs="Arial"/>
          <w:sz w:val="22"/>
          <w:szCs w:val="22"/>
        </w:rPr>
      </w:pPr>
    </w:p>
    <w:p w:rsidR="00BF0C6F" w:rsidRPr="00BF0C6F" w:rsidRDefault="00BF0C6F" w:rsidP="00BF0C6F">
      <w:pPr>
        <w:jc w:val="both"/>
        <w:rPr>
          <w:rFonts w:cs="Arial"/>
          <w:sz w:val="22"/>
          <w:szCs w:val="22"/>
        </w:rPr>
      </w:pPr>
      <w:r w:rsidRPr="00BF0C6F">
        <w:rPr>
          <w:rFonts w:cs="Arial"/>
          <w:sz w:val="22"/>
          <w:szCs w:val="22"/>
        </w:rPr>
        <w:t>Desahogado y concluido el proceso de selección, habiéndose cumplido con los requisitos establecidos en la convocatoria emitida para tal efecto, y en ejercicio de la facultad que se otorga al suscrito, someto a la consideración de este Cuerpo Edilicio la aprobación de la siguiente</w:t>
      </w:r>
      <w:r>
        <w:rPr>
          <w:rFonts w:cs="Arial"/>
          <w:sz w:val="22"/>
          <w:szCs w:val="22"/>
        </w:rPr>
        <w:t>:</w:t>
      </w:r>
    </w:p>
    <w:p w:rsidR="00BF0C6F" w:rsidRDefault="00BF0C6F" w:rsidP="00192F1A">
      <w:pPr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BF0C6F" w:rsidRDefault="00BF0C6F" w:rsidP="00192F1A">
      <w:pPr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BF0C6F" w:rsidRDefault="00BF0C6F" w:rsidP="00192F1A">
      <w:pPr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BF0C6F" w:rsidRDefault="00BF0C6F" w:rsidP="00192F1A">
      <w:pPr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4E315F" w:rsidRPr="00BF0C6F" w:rsidRDefault="004E315F" w:rsidP="00192F1A">
      <w:pPr>
        <w:jc w:val="both"/>
        <w:rPr>
          <w:rFonts w:cs="Arial"/>
          <w:sz w:val="22"/>
          <w:szCs w:val="22"/>
        </w:rPr>
      </w:pPr>
    </w:p>
    <w:p w:rsidR="009F36B6" w:rsidRPr="00BF0C6F" w:rsidRDefault="009F36B6" w:rsidP="009F36B6">
      <w:pPr>
        <w:pStyle w:val="TEXTO"/>
        <w:jc w:val="center"/>
        <w:rPr>
          <w:rFonts w:ascii="Arial" w:hAnsi="Arial" w:cs="Arial"/>
          <w:b/>
          <w:color w:val="auto"/>
          <w:kern w:val="28"/>
          <w:sz w:val="22"/>
          <w:szCs w:val="22"/>
          <w:lang w:val="es-ES"/>
        </w:rPr>
      </w:pPr>
      <w:r w:rsidRPr="00BF0C6F">
        <w:rPr>
          <w:rFonts w:ascii="Arial" w:hAnsi="Arial" w:cs="Arial"/>
          <w:b/>
          <w:color w:val="auto"/>
          <w:kern w:val="28"/>
          <w:sz w:val="22"/>
          <w:szCs w:val="22"/>
          <w:lang w:val="es-ES"/>
        </w:rPr>
        <w:t xml:space="preserve">P R O P U E S T A </w:t>
      </w:r>
    </w:p>
    <w:p w:rsidR="009F36B6" w:rsidRPr="00BF0C6F" w:rsidRDefault="009F36B6" w:rsidP="009F36B6">
      <w:pPr>
        <w:pStyle w:val="TEXTO"/>
        <w:jc w:val="center"/>
        <w:rPr>
          <w:rFonts w:ascii="Arial" w:hAnsi="Arial" w:cs="Arial"/>
          <w:sz w:val="22"/>
          <w:szCs w:val="22"/>
          <w:lang w:val="es-MX"/>
        </w:rPr>
      </w:pPr>
    </w:p>
    <w:p w:rsidR="009F36B6" w:rsidRPr="00BF0C6F" w:rsidRDefault="009F36B6" w:rsidP="009F36B6">
      <w:pPr>
        <w:tabs>
          <w:tab w:val="num" w:pos="993"/>
        </w:tabs>
        <w:jc w:val="both"/>
        <w:rPr>
          <w:rFonts w:cs="Arial"/>
          <w:sz w:val="22"/>
          <w:szCs w:val="22"/>
          <w:lang w:val="es-MX"/>
        </w:rPr>
      </w:pPr>
      <w:r w:rsidRPr="00BF0C6F">
        <w:rPr>
          <w:rFonts w:cs="Arial"/>
          <w:b/>
          <w:sz w:val="22"/>
          <w:szCs w:val="22"/>
          <w:lang w:val="es-MX"/>
        </w:rPr>
        <w:t xml:space="preserve">ÚNICO. -  </w:t>
      </w:r>
      <w:r w:rsidR="00762287">
        <w:rPr>
          <w:rFonts w:cs="Arial"/>
          <w:sz w:val="22"/>
          <w:szCs w:val="22"/>
          <w:lang w:val="es-MX"/>
        </w:rPr>
        <w:t>Se nombra a la</w:t>
      </w:r>
      <w:r w:rsidR="0073536B">
        <w:rPr>
          <w:rFonts w:cs="Arial"/>
          <w:sz w:val="22"/>
          <w:szCs w:val="22"/>
          <w:lang w:val="es-MX"/>
        </w:rPr>
        <w:t>s</w:t>
      </w:r>
      <w:r w:rsidRPr="00BF0C6F">
        <w:rPr>
          <w:rFonts w:cs="Arial"/>
          <w:sz w:val="22"/>
          <w:szCs w:val="22"/>
          <w:lang w:val="es-MX"/>
        </w:rPr>
        <w:t xml:space="preserve"> personas que se mencionan a continuación par</w:t>
      </w:r>
      <w:r w:rsidR="0073536B">
        <w:rPr>
          <w:rFonts w:cs="Arial"/>
          <w:sz w:val="22"/>
          <w:szCs w:val="22"/>
          <w:lang w:val="es-MX"/>
        </w:rPr>
        <w:t>a ocupar el cargo de Titular de</w:t>
      </w:r>
      <w:r w:rsidRPr="00BF0C6F">
        <w:rPr>
          <w:rFonts w:cs="Arial"/>
          <w:sz w:val="22"/>
          <w:szCs w:val="22"/>
          <w:lang w:val="es-MX"/>
        </w:rPr>
        <w:t xml:space="preserve"> Juzgado Cívico.</w:t>
      </w:r>
    </w:p>
    <w:p w:rsidR="009F36B6" w:rsidRPr="00BF0C6F" w:rsidRDefault="009F36B6" w:rsidP="009F36B6">
      <w:pPr>
        <w:tabs>
          <w:tab w:val="num" w:pos="993"/>
        </w:tabs>
        <w:jc w:val="both"/>
        <w:rPr>
          <w:rFonts w:cs="Arial"/>
          <w:sz w:val="22"/>
          <w:szCs w:val="22"/>
          <w:lang w:val="es-MX"/>
        </w:rPr>
      </w:pP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proofErr w:type="spellStart"/>
      <w:r w:rsidRPr="00BF0C6F">
        <w:rPr>
          <w:rFonts w:ascii="Arial" w:hAnsi="Arial" w:cs="Arial"/>
        </w:rPr>
        <w:t>Ayrton</w:t>
      </w:r>
      <w:proofErr w:type="spellEnd"/>
      <w:r w:rsidRPr="00BF0C6F">
        <w:rPr>
          <w:rFonts w:ascii="Arial" w:hAnsi="Arial" w:cs="Arial"/>
        </w:rPr>
        <w:t xml:space="preserve"> Luis Sandoval Navarro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Juan Francisco Vázquez Aviña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Martha Susana Zamora Galván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José Luis Mejías Maldonado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 xml:space="preserve">Viridiana Cervantes Ibarra 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Luz Daniela Sánchez Hernández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María del Rosario Valdés Gil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Héctor Hugo Robles Gómez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Lourdes Angelina Olivares Castillo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Leticia Balderas Fernández</w:t>
      </w:r>
    </w:p>
    <w:p w:rsidR="008A27BB" w:rsidRPr="00BF0C6F" w:rsidRDefault="008A27BB" w:rsidP="008A27BB">
      <w:pPr>
        <w:pStyle w:val="Prrafodelista"/>
        <w:numPr>
          <w:ilvl w:val="0"/>
          <w:numId w:val="2"/>
        </w:numPr>
        <w:tabs>
          <w:tab w:val="left" w:pos="1134"/>
        </w:tabs>
        <w:jc w:val="both"/>
        <w:rPr>
          <w:rFonts w:ascii="Arial" w:hAnsi="Arial" w:cs="Arial"/>
        </w:rPr>
      </w:pPr>
      <w:r w:rsidRPr="00BF0C6F">
        <w:rPr>
          <w:rFonts w:ascii="Arial" w:hAnsi="Arial" w:cs="Arial"/>
        </w:rPr>
        <w:t>José Demetrio Valadez Aguado</w:t>
      </w:r>
    </w:p>
    <w:p w:rsidR="008A27BB" w:rsidRPr="00BF0C6F" w:rsidRDefault="008A27BB" w:rsidP="00192F1A">
      <w:pPr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192F1A" w:rsidRPr="00BF0C6F" w:rsidRDefault="00192F1A" w:rsidP="00192F1A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2"/>
          <w:szCs w:val="22"/>
          <w:lang w:val="es"/>
        </w:rPr>
      </w:pPr>
      <w:r w:rsidRPr="00BF0C6F">
        <w:rPr>
          <w:rFonts w:cs="Arial"/>
          <w:b/>
          <w:bCs/>
          <w:color w:val="000000" w:themeColor="text1"/>
          <w:sz w:val="22"/>
          <w:szCs w:val="22"/>
          <w:lang w:val="es"/>
        </w:rPr>
        <w:t>ATENTAMENTE</w:t>
      </w:r>
    </w:p>
    <w:p w:rsidR="00192F1A" w:rsidRPr="00BF0C6F" w:rsidRDefault="00192F1A" w:rsidP="00192F1A">
      <w:pPr>
        <w:autoSpaceDE w:val="0"/>
        <w:autoSpaceDN w:val="0"/>
        <w:adjustRightInd w:val="0"/>
        <w:jc w:val="center"/>
        <w:rPr>
          <w:rFonts w:cs="Arial"/>
          <w:b/>
          <w:bCs/>
          <w:i/>
          <w:color w:val="000000" w:themeColor="text1"/>
          <w:sz w:val="22"/>
          <w:szCs w:val="22"/>
          <w:lang w:val="es"/>
        </w:rPr>
      </w:pPr>
      <w:r w:rsidRPr="00BF0C6F">
        <w:rPr>
          <w:rFonts w:cs="Arial"/>
          <w:b/>
          <w:bCs/>
          <w:i/>
          <w:color w:val="000000" w:themeColor="text1"/>
          <w:sz w:val="22"/>
          <w:szCs w:val="22"/>
          <w:lang w:val="es"/>
        </w:rPr>
        <w:t>“EL TRABAJO TODO LO VENCE”</w:t>
      </w:r>
    </w:p>
    <w:p w:rsidR="00566BA7" w:rsidRPr="00BF0C6F" w:rsidRDefault="00566BA7" w:rsidP="00566BA7">
      <w:pPr>
        <w:jc w:val="center"/>
        <w:rPr>
          <w:b/>
          <w:i/>
          <w:smallCaps/>
          <w:sz w:val="22"/>
          <w:szCs w:val="22"/>
          <w:lang w:val="es-CO"/>
        </w:rPr>
      </w:pPr>
      <w:r w:rsidRPr="00BF0C6F">
        <w:rPr>
          <w:b/>
          <w:i/>
          <w:smallCaps/>
          <w:sz w:val="22"/>
          <w:szCs w:val="22"/>
          <w:lang w:val="es-CO"/>
        </w:rPr>
        <w:t>“2020, Año de Leona Vicario, Benemérita Madre de la Patria”</w:t>
      </w:r>
    </w:p>
    <w:p w:rsidR="00192F1A" w:rsidRPr="00BF0C6F" w:rsidRDefault="00566BA7" w:rsidP="00192F1A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2"/>
          <w:szCs w:val="22"/>
          <w:lang w:val="es"/>
        </w:rPr>
      </w:pPr>
      <w:r w:rsidRPr="00BF0C6F">
        <w:rPr>
          <w:rFonts w:cs="Arial"/>
          <w:b/>
          <w:bCs/>
          <w:color w:val="000000" w:themeColor="text1"/>
          <w:sz w:val="22"/>
          <w:szCs w:val="22"/>
          <w:lang w:val="es"/>
        </w:rPr>
        <w:t>LEÓN, GUANAJUATO; A 22</w:t>
      </w:r>
      <w:r w:rsidR="00192F1A" w:rsidRPr="00BF0C6F">
        <w:rPr>
          <w:rFonts w:cs="Arial"/>
          <w:b/>
          <w:bCs/>
          <w:color w:val="000000" w:themeColor="text1"/>
          <w:sz w:val="22"/>
          <w:szCs w:val="22"/>
          <w:lang w:val="es"/>
        </w:rPr>
        <w:t xml:space="preserve"> DE </w:t>
      </w:r>
      <w:r w:rsidRPr="00BF0C6F">
        <w:rPr>
          <w:rFonts w:cs="Arial"/>
          <w:b/>
          <w:bCs/>
          <w:color w:val="000000" w:themeColor="text1"/>
          <w:sz w:val="22"/>
          <w:szCs w:val="22"/>
          <w:lang w:val="es"/>
        </w:rPr>
        <w:t>OCTUBRE</w:t>
      </w:r>
      <w:r w:rsidR="00192F1A" w:rsidRPr="00BF0C6F">
        <w:rPr>
          <w:rFonts w:cs="Arial"/>
          <w:b/>
          <w:bCs/>
          <w:color w:val="000000" w:themeColor="text1"/>
          <w:sz w:val="22"/>
          <w:szCs w:val="22"/>
          <w:lang w:val="es"/>
        </w:rPr>
        <w:t xml:space="preserve"> </w:t>
      </w:r>
      <w:r w:rsidR="00192F1A" w:rsidRPr="00BF0C6F">
        <w:rPr>
          <w:rFonts w:cs="Arial"/>
          <w:b/>
          <w:color w:val="000000" w:themeColor="text1"/>
          <w:sz w:val="22"/>
          <w:szCs w:val="22"/>
          <w:lang w:val="es"/>
        </w:rPr>
        <w:t xml:space="preserve">DE </w:t>
      </w:r>
      <w:r w:rsidRPr="00BF0C6F">
        <w:rPr>
          <w:rFonts w:cs="Arial"/>
          <w:b/>
          <w:bCs/>
          <w:color w:val="000000" w:themeColor="text1"/>
          <w:sz w:val="22"/>
          <w:szCs w:val="22"/>
          <w:lang w:val="es"/>
        </w:rPr>
        <w:t>2020</w:t>
      </w:r>
    </w:p>
    <w:p w:rsidR="00192F1A" w:rsidRPr="00BF0C6F" w:rsidRDefault="00192F1A" w:rsidP="00192F1A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2"/>
          <w:szCs w:val="22"/>
          <w:lang w:val="es"/>
        </w:rPr>
      </w:pPr>
    </w:p>
    <w:p w:rsidR="00192F1A" w:rsidRPr="00BF0C6F" w:rsidRDefault="00192F1A" w:rsidP="00192F1A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2"/>
          <w:szCs w:val="22"/>
          <w:lang w:val="es"/>
        </w:rPr>
      </w:pPr>
    </w:p>
    <w:p w:rsidR="00192F1A" w:rsidRPr="00BF0C6F" w:rsidRDefault="00192F1A" w:rsidP="00192F1A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2"/>
          <w:szCs w:val="22"/>
          <w:lang w:val="es"/>
        </w:rPr>
      </w:pPr>
    </w:p>
    <w:p w:rsidR="00192F1A" w:rsidRPr="00BF0C6F" w:rsidRDefault="00192F1A" w:rsidP="00192F1A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2"/>
          <w:szCs w:val="22"/>
          <w:lang w:val="es"/>
        </w:rPr>
      </w:pPr>
      <w:r w:rsidRPr="00BF0C6F">
        <w:rPr>
          <w:rFonts w:cs="Arial"/>
          <w:b/>
          <w:bCs/>
          <w:color w:val="000000" w:themeColor="text1"/>
          <w:sz w:val="22"/>
          <w:szCs w:val="22"/>
          <w:lang w:val="es"/>
        </w:rPr>
        <w:t>LIC. HÉCTOR GERMÁN RENÉ LÓPEZ SANTILLANA</w:t>
      </w:r>
    </w:p>
    <w:p w:rsidR="00192F1A" w:rsidRPr="00BF0C6F" w:rsidRDefault="00192F1A" w:rsidP="00192F1A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2"/>
          <w:szCs w:val="22"/>
          <w:lang w:val="es"/>
        </w:rPr>
      </w:pPr>
      <w:r w:rsidRPr="00BF0C6F">
        <w:rPr>
          <w:rFonts w:cs="Arial"/>
          <w:b/>
          <w:bCs/>
          <w:color w:val="000000" w:themeColor="text1"/>
          <w:sz w:val="22"/>
          <w:szCs w:val="22"/>
          <w:lang w:val="es"/>
        </w:rPr>
        <w:t xml:space="preserve">PRESIDENTE MUNICIPAL </w:t>
      </w:r>
    </w:p>
    <w:p w:rsidR="00B12C7D" w:rsidRPr="00BF0C6F" w:rsidRDefault="00B12C7D" w:rsidP="00192F1A">
      <w:pPr>
        <w:rPr>
          <w:rFonts w:cs="Arial"/>
          <w:color w:val="808080" w:themeColor="background1" w:themeShade="80"/>
          <w:sz w:val="22"/>
          <w:szCs w:val="22"/>
          <w:lang w:val="es-MX"/>
        </w:rPr>
      </w:pPr>
    </w:p>
    <w:sectPr w:rsidR="00B12C7D" w:rsidRPr="00BF0C6F" w:rsidSect="00E47950">
      <w:footerReference w:type="default" r:id="rId7"/>
      <w:pgSz w:w="12240" w:h="15840"/>
      <w:pgMar w:top="2552" w:right="1418" w:bottom="2268" w:left="1418" w:header="709" w:footer="1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D4B" w:rsidRDefault="00E66D4B" w:rsidP="00854641">
      <w:r>
        <w:separator/>
      </w:r>
    </w:p>
  </w:endnote>
  <w:endnote w:type="continuationSeparator" w:id="0">
    <w:p w:rsidR="00E66D4B" w:rsidRDefault="00E66D4B" w:rsidP="0085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41" w:rsidRPr="00DB689D" w:rsidRDefault="00854641" w:rsidP="00B22934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>La presente hoja forma parte integral de la propuesta</w:t>
    </w:r>
    <w:r w:rsidR="00BD161F">
      <w:rPr>
        <w:color w:val="A6A6A6" w:themeColor="background1" w:themeShade="A6"/>
        <w:sz w:val="16"/>
        <w:szCs w:val="16"/>
      </w:rPr>
      <w:t xml:space="preserve"> de </w:t>
    </w:r>
    <w:r w:rsidR="00BD161F" w:rsidRPr="00BD161F">
      <w:rPr>
        <w:color w:val="A6A6A6" w:themeColor="background1" w:themeShade="A6"/>
        <w:sz w:val="16"/>
        <w:szCs w:val="16"/>
      </w:rPr>
      <w:t>nombramiento de</w:t>
    </w:r>
    <w:r w:rsidR="00566BA7">
      <w:rPr>
        <w:color w:val="A6A6A6" w:themeColor="background1" w:themeShade="A6"/>
        <w:sz w:val="16"/>
        <w:szCs w:val="16"/>
      </w:rPr>
      <w:t xml:space="preserve"> 11 </w:t>
    </w:r>
    <w:r w:rsidR="00BD161F" w:rsidRPr="00BD161F">
      <w:rPr>
        <w:color w:val="A6A6A6" w:themeColor="background1" w:themeShade="A6"/>
        <w:sz w:val="16"/>
        <w:szCs w:val="16"/>
      </w:rPr>
      <w:t>Jue</w:t>
    </w:r>
    <w:r w:rsidR="00566BA7">
      <w:rPr>
        <w:color w:val="A6A6A6" w:themeColor="background1" w:themeShade="A6"/>
        <w:sz w:val="16"/>
        <w:szCs w:val="16"/>
      </w:rPr>
      <w:t>ces Cívicos</w:t>
    </w:r>
    <w:r w:rsidR="00CC74E9">
      <w:rPr>
        <w:color w:val="A6A6A6" w:themeColor="background1" w:themeShade="A6"/>
        <w:sz w:val="16"/>
        <w:szCs w:val="16"/>
      </w:rPr>
      <w:t xml:space="preserve"> que presenta el Presidente Municipal al Honorable Ayuntamiento en Sesión</w:t>
    </w:r>
    <w:r w:rsidR="00003E72">
      <w:rPr>
        <w:color w:val="A6A6A6" w:themeColor="background1" w:themeShade="A6"/>
        <w:sz w:val="16"/>
        <w:szCs w:val="16"/>
      </w:rPr>
      <w:t xml:space="preserve"> Ordinaria celebrada en fecha </w:t>
    </w:r>
    <w:r w:rsidR="00566BA7">
      <w:rPr>
        <w:color w:val="A6A6A6" w:themeColor="background1" w:themeShade="A6"/>
        <w:sz w:val="16"/>
        <w:szCs w:val="16"/>
      </w:rPr>
      <w:t>22</w:t>
    </w:r>
    <w:r w:rsidR="00CC74E9">
      <w:rPr>
        <w:color w:val="A6A6A6" w:themeColor="background1" w:themeShade="A6"/>
        <w:sz w:val="16"/>
        <w:szCs w:val="16"/>
      </w:rPr>
      <w:t xml:space="preserve"> de </w:t>
    </w:r>
    <w:r w:rsidR="00566BA7">
      <w:rPr>
        <w:color w:val="A6A6A6" w:themeColor="background1" w:themeShade="A6"/>
        <w:sz w:val="16"/>
        <w:szCs w:val="16"/>
      </w:rPr>
      <w:t xml:space="preserve">octubre </w:t>
    </w:r>
    <w:r w:rsidR="00CC74E9">
      <w:rPr>
        <w:color w:val="A6A6A6" w:themeColor="background1" w:themeShade="A6"/>
        <w:sz w:val="16"/>
        <w:szCs w:val="16"/>
      </w:rPr>
      <w:t>de 20</w:t>
    </w:r>
    <w:r w:rsidR="00566BA7">
      <w:rPr>
        <w:color w:val="A6A6A6" w:themeColor="background1" w:themeShade="A6"/>
        <w:sz w:val="16"/>
        <w:szCs w:val="16"/>
      </w:rPr>
      <w:t>20</w:t>
    </w:r>
    <w:r w:rsidR="00CC74E9">
      <w:rPr>
        <w:color w:val="A6A6A6" w:themeColor="background1" w:themeShade="A6"/>
        <w:sz w:val="16"/>
        <w:szCs w:val="16"/>
      </w:rPr>
      <w:t>.</w:t>
    </w:r>
  </w:p>
  <w:p w:rsidR="00854641" w:rsidRDefault="0085464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D4B" w:rsidRDefault="00E66D4B" w:rsidP="00854641">
      <w:r>
        <w:separator/>
      </w:r>
    </w:p>
  </w:footnote>
  <w:footnote w:type="continuationSeparator" w:id="0">
    <w:p w:rsidR="00E66D4B" w:rsidRDefault="00E66D4B" w:rsidP="00854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6760F"/>
    <w:multiLevelType w:val="hybridMultilevel"/>
    <w:tmpl w:val="01A45C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E3EB9"/>
    <w:multiLevelType w:val="hybridMultilevel"/>
    <w:tmpl w:val="EF88BC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641"/>
    <w:rsid w:val="00003E72"/>
    <w:rsid w:val="00016580"/>
    <w:rsid w:val="00027B98"/>
    <w:rsid w:val="000503F2"/>
    <w:rsid w:val="000E3455"/>
    <w:rsid w:val="000E3B9B"/>
    <w:rsid w:val="000F070F"/>
    <w:rsid w:val="000F5847"/>
    <w:rsid w:val="0011201F"/>
    <w:rsid w:val="00120BB9"/>
    <w:rsid w:val="00133068"/>
    <w:rsid w:val="001476CF"/>
    <w:rsid w:val="00151F8F"/>
    <w:rsid w:val="0016247B"/>
    <w:rsid w:val="001858AB"/>
    <w:rsid w:val="00192F1A"/>
    <w:rsid w:val="001B42D7"/>
    <w:rsid w:val="001D2595"/>
    <w:rsid w:val="001D355A"/>
    <w:rsid w:val="001E3862"/>
    <w:rsid w:val="001F2537"/>
    <w:rsid w:val="00210881"/>
    <w:rsid w:val="00241096"/>
    <w:rsid w:val="00260E44"/>
    <w:rsid w:val="00283CA3"/>
    <w:rsid w:val="00286D94"/>
    <w:rsid w:val="002B537A"/>
    <w:rsid w:val="002E35F1"/>
    <w:rsid w:val="002E7878"/>
    <w:rsid w:val="003A5652"/>
    <w:rsid w:val="0042118F"/>
    <w:rsid w:val="00423659"/>
    <w:rsid w:val="00430475"/>
    <w:rsid w:val="004D1E20"/>
    <w:rsid w:val="004E315F"/>
    <w:rsid w:val="00510A85"/>
    <w:rsid w:val="00526661"/>
    <w:rsid w:val="0056474E"/>
    <w:rsid w:val="00566BA7"/>
    <w:rsid w:val="005A4821"/>
    <w:rsid w:val="005B42F9"/>
    <w:rsid w:val="005C0DB4"/>
    <w:rsid w:val="005C1C53"/>
    <w:rsid w:val="005E53B0"/>
    <w:rsid w:val="00607012"/>
    <w:rsid w:val="00615BC9"/>
    <w:rsid w:val="0066181B"/>
    <w:rsid w:val="00686DB6"/>
    <w:rsid w:val="006A3075"/>
    <w:rsid w:val="006B28E5"/>
    <w:rsid w:val="006C717E"/>
    <w:rsid w:val="006E72B4"/>
    <w:rsid w:val="00716624"/>
    <w:rsid w:val="0073536B"/>
    <w:rsid w:val="00746CD2"/>
    <w:rsid w:val="00755A11"/>
    <w:rsid w:val="007604A5"/>
    <w:rsid w:val="00762287"/>
    <w:rsid w:val="0076630A"/>
    <w:rsid w:val="00766C61"/>
    <w:rsid w:val="007870B5"/>
    <w:rsid w:val="0079351E"/>
    <w:rsid w:val="00794EAF"/>
    <w:rsid w:val="007964FE"/>
    <w:rsid w:val="007D33F2"/>
    <w:rsid w:val="007E06C0"/>
    <w:rsid w:val="007F1B8F"/>
    <w:rsid w:val="00843AA5"/>
    <w:rsid w:val="00854641"/>
    <w:rsid w:val="00891D19"/>
    <w:rsid w:val="00895D4E"/>
    <w:rsid w:val="008A27BB"/>
    <w:rsid w:val="008B6F46"/>
    <w:rsid w:val="008C0DEE"/>
    <w:rsid w:val="008E1D29"/>
    <w:rsid w:val="00931FE5"/>
    <w:rsid w:val="00954C53"/>
    <w:rsid w:val="00955F15"/>
    <w:rsid w:val="00980A85"/>
    <w:rsid w:val="009A17E4"/>
    <w:rsid w:val="009A736E"/>
    <w:rsid w:val="009B0AE3"/>
    <w:rsid w:val="009C458F"/>
    <w:rsid w:val="009E13D9"/>
    <w:rsid w:val="009F36B6"/>
    <w:rsid w:val="00A13EB7"/>
    <w:rsid w:val="00A25688"/>
    <w:rsid w:val="00A56BB7"/>
    <w:rsid w:val="00A713E6"/>
    <w:rsid w:val="00A870B0"/>
    <w:rsid w:val="00A93763"/>
    <w:rsid w:val="00AF3142"/>
    <w:rsid w:val="00B03934"/>
    <w:rsid w:val="00B12C7D"/>
    <w:rsid w:val="00B176DB"/>
    <w:rsid w:val="00B22934"/>
    <w:rsid w:val="00B327B4"/>
    <w:rsid w:val="00B65487"/>
    <w:rsid w:val="00B96898"/>
    <w:rsid w:val="00BD161F"/>
    <w:rsid w:val="00BF0C6F"/>
    <w:rsid w:val="00C00A0F"/>
    <w:rsid w:val="00C157F6"/>
    <w:rsid w:val="00C316E0"/>
    <w:rsid w:val="00C33D8C"/>
    <w:rsid w:val="00C54843"/>
    <w:rsid w:val="00C66FF5"/>
    <w:rsid w:val="00CC74E9"/>
    <w:rsid w:val="00CD4939"/>
    <w:rsid w:val="00D0596D"/>
    <w:rsid w:val="00D34B37"/>
    <w:rsid w:val="00D606DE"/>
    <w:rsid w:val="00D62751"/>
    <w:rsid w:val="00DA1D6A"/>
    <w:rsid w:val="00DE063C"/>
    <w:rsid w:val="00DE6296"/>
    <w:rsid w:val="00E210D0"/>
    <w:rsid w:val="00E367F2"/>
    <w:rsid w:val="00E370DA"/>
    <w:rsid w:val="00E47950"/>
    <w:rsid w:val="00E66D4B"/>
    <w:rsid w:val="00ED659E"/>
    <w:rsid w:val="00EE0902"/>
    <w:rsid w:val="00EE2135"/>
    <w:rsid w:val="00F0554C"/>
    <w:rsid w:val="00F3615E"/>
    <w:rsid w:val="00F42B59"/>
    <w:rsid w:val="00FA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8515F"/>
  <w15:chartTrackingRefBased/>
  <w15:docId w15:val="{47A35445-8E58-414E-9FC8-883B963A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64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54641"/>
    <w:pPr>
      <w:keepNext/>
      <w:spacing w:before="240" w:after="60"/>
      <w:outlineLvl w:val="0"/>
    </w:pPr>
    <w:rPr>
      <w:b/>
      <w:kern w:val="28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464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546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4641"/>
  </w:style>
  <w:style w:type="paragraph" w:styleId="Piedepgina">
    <w:name w:val="footer"/>
    <w:basedOn w:val="Normal"/>
    <w:link w:val="PiedepginaCar"/>
    <w:uiPriority w:val="99"/>
    <w:unhideWhenUsed/>
    <w:rsid w:val="008546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641"/>
  </w:style>
  <w:style w:type="character" w:customStyle="1" w:styleId="Ttulo1Car">
    <w:name w:val="Título 1 Car"/>
    <w:basedOn w:val="Fuentedeprrafopredeter"/>
    <w:link w:val="Ttulo1"/>
    <w:rsid w:val="00854641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85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46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inespaciado">
    <w:name w:val="No Spacing"/>
    <w:qFormat/>
    <w:rsid w:val="0085464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85464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s-ES" w:eastAsia="es-ES"/>
    </w:rPr>
  </w:style>
  <w:style w:type="paragraph" w:customStyle="1" w:styleId="TEXTO">
    <w:name w:val="TEXTO"/>
    <w:rsid w:val="00E47950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58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584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192F1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Iliana Navarro Pedroza</cp:lastModifiedBy>
  <cp:revision>8</cp:revision>
  <cp:lastPrinted>2020-10-20T19:39:00Z</cp:lastPrinted>
  <dcterms:created xsi:type="dcterms:W3CDTF">2020-10-20T19:03:00Z</dcterms:created>
  <dcterms:modified xsi:type="dcterms:W3CDTF">2020-10-21T15:46:00Z</dcterms:modified>
</cp:coreProperties>
</file>