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>
        <w:rPr>
          <w:b w:val="0"/>
        </w:rPr>
        <w:t xml:space="preserve">sexta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julio,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454C39">
        <w:rPr>
          <w:rFonts w:ascii="Arial" w:hAnsi="Arial" w:cs="Arial"/>
          <w:b/>
          <w:sz w:val="24"/>
          <w:szCs w:val="24"/>
        </w:rPr>
        <w:t>22</w:t>
      </w:r>
      <w:bookmarkStart w:id="0" w:name="_GoBack"/>
      <w:bookmarkEnd w:id="0"/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JULIO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5F4" w:rsidRDefault="003E75F4" w:rsidP="00B601B4">
      <w:pPr>
        <w:spacing w:after="0" w:line="240" w:lineRule="auto"/>
      </w:pPr>
      <w:r>
        <w:separator/>
      </w:r>
    </w:p>
  </w:endnote>
  <w:endnote w:type="continuationSeparator" w:id="0">
    <w:p w:rsidR="003E75F4" w:rsidRDefault="003E75F4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B601B4">
      <w:rPr>
        <w:rFonts w:cs="Arial"/>
        <w:b/>
        <w:sz w:val="12"/>
        <w:szCs w:val="12"/>
      </w:rPr>
      <w:t>SEX</w:t>
    </w:r>
    <w:r>
      <w:rPr>
        <w:rFonts w:cs="Arial"/>
        <w:b/>
        <w:sz w:val="12"/>
        <w:szCs w:val="12"/>
      </w:rPr>
      <w:t>TA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B601B4">
      <w:rPr>
        <w:rFonts w:cs="Arial"/>
        <w:b/>
        <w:sz w:val="12"/>
        <w:szCs w:val="12"/>
      </w:rPr>
      <w:t>JUL</w:t>
    </w:r>
    <w:r>
      <w:rPr>
        <w:rFonts w:cs="Arial"/>
        <w:b/>
        <w:sz w:val="12"/>
        <w:szCs w:val="12"/>
      </w:rPr>
      <w:t>IO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3E75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5F4" w:rsidRDefault="003E75F4" w:rsidP="00B601B4">
      <w:pPr>
        <w:spacing w:after="0" w:line="240" w:lineRule="auto"/>
      </w:pPr>
      <w:r>
        <w:separator/>
      </w:r>
    </w:p>
  </w:footnote>
  <w:footnote w:type="continuationSeparator" w:id="0">
    <w:p w:rsidR="003E75F4" w:rsidRDefault="003E75F4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E75F4"/>
    <w:rsid w:val="00454C39"/>
    <w:rsid w:val="00530DBA"/>
    <w:rsid w:val="00B6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2</cp:revision>
  <dcterms:created xsi:type="dcterms:W3CDTF">2019-07-09T15:24:00Z</dcterms:created>
  <dcterms:modified xsi:type="dcterms:W3CDTF">2019-07-17T17:53:00Z</dcterms:modified>
</cp:coreProperties>
</file>