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16E" w:rsidRPr="00A2423D" w:rsidRDefault="000B016E" w:rsidP="000B016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0B016E" w:rsidRPr="00A2423D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0B016E" w:rsidRDefault="000B016E" w:rsidP="000B016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0B016E" w:rsidRPr="00A2423D" w:rsidRDefault="000B016E" w:rsidP="000B016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0B016E" w:rsidRPr="00A2423D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0B016E" w:rsidRPr="00A2423D" w:rsidRDefault="000B016E" w:rsidP="000B01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0B016E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0B016E" w:rsidRPr="00A2423D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0B016E" w:rsidRPr="00A2423D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0B016E" w:rsidRPr="00A2423D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tiene contemplada la obra denominada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“Calzada Hacienda la Pompa”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sus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características y dimensiones es necesario realizar la afectación de propiedad de un particular. </w:t>
      </w:r>
    </w:p>
    <w:p w:rsidR="000B016E" w:rsidRPr="00A2423D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0B016E" w:rsidRDefault="000B016E" w:rsidP="000B016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fracción de terreno,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322E1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,277.53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siete mil doscientos setenta y siete punto cincuenta y tres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superficie mayor del inmueble que se identifica como fracción de terreno que pertenece al lote 1, ubicado a las orillas del Barrio de San Miguel, mismo que formó parte de la Hacienda de Pompa y que actualmente linda con la Colonia Los Pinos y el Ejido de Pompa de esta ciudad.</w:t>
      </w:r>
    </w:p>
    <w:p w:rsidR="000B016E" w:rsidRDefault="000B016E" w:rsidP="000B016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lastRenderedPageBreak/>
        <w:t xml:space="preserve">III.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sociedad mercantil denominada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“APROX S.A. DE C.V.”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propietaria del referido inmueble</w:t>
      </w:r>
      <w:r w:rsidRP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acredita con la escritura pública número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21,592 veintiún mil y quinientos noventa y dos</w:t>
      </w:r>
      <w:r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09</w:t>
      </w:r>
      <w:r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diciembre </w:t>
      </w:r>
      <w:r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1997, otorgada ante la fe del L</w:t>
      </w:r>
      <w:r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Mario Alberto Cortés Rodríguez</w:t>
      </w:r>
      <w:r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entonces </w:t>
      </w:r>
      <w:r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titular de la Notaría Púbica número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106,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legal ejercicio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95912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0B016E" w:rsidRDefault="000B016E" w:rsidP="000B016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0B016E" w:rsidRPr="00515F4B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420A93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cuenta con un </w:t>
      </w:r>
      <w:r w:rsidRPr="00420A93">
        <w:rPr>
          <w:rFonts w:ascii="Arial" w:eastAsia="Times New Roman" w:hAnsi="Arial" w:cs="Arial"/>
          <w:sz w:val="28"/>
          <w:szCs w:val="28"/>
          <w:lang w:eastAsia="es-ES"/>
        </w:rPr>
        <w:t>gravamen,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consistente en una servidumbre de paso a favor del Sistema de Agua Potable y Alcantarillado de León,</w:t>
      </w:r>
      <w:r w:rsidRPr="00420A93">
        <w:rPr>
          <w:rFonts w:ascii="Arial" w:eastAsia="Times New Roman" w:hAnsi="Arial" w:cs="Arial"/>
          <w:sz w:val="28"/>
          <w:szCs w:val="28"/>
          <w:lang w:eastAsia="es-ES"/>
        </w:rPr>
        <w:t xml:space="preserve"> según el certificado de gravámenes expedido por el Registro Público de la Propiedad y del Comercio de esta ciudad, con número de solicitud 3742974, de fecha 03 de diciembre de 2020.</w:t>
      </w:r>
    </w:p>
    <w:p w:rsidR="000B016E" w:rsidRPr="00A2423D" w:rsidRDefault="000B016E" w:rsidP="000B016E">
      <w:pPr>
        <w:pStyle w:val="Textoindependiente"/>
        <w:rPr>
          <w:rFonts w:cs="Arial"/>
          <w:b/>
          <w:sz w:val="28"/>
          <w:szCs w:val="28"/>
        </w:rPr>
      </w:pPr>
    </w:p>
    <w:p w:rsidR="000B016E" w:rsidRPr="00EF1FD4" w:rsidRDefault="000B016E" w:rsidP="000B016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IV.</w:t>
      </w:r>
      <w:r w:rsidRPr="00F1649B">
        <w:rPr>
          <w:rFonts w:cs="Arial"/>
          <w:b/>
          <w:sz w:val="28"/>
          <w:szCs w:val="28"/>
        </w:rPr>
        <w:t xml:space="preserve"> </w:t>
      </w:r>
      <w:r>
        <w:rPr>
          <w:rFonts w:eastAsia="Arial Unicode MS" w:cs="Arial"/>
          <w:color w:val="000000"/>
          <w:sz w:val="28"/>
          <w:szCs w:val="28"/>
        </w:rPr>
        <w:t xml:space="preserve">La sociedad mercantil denominada </w:t>
      </w:r>
      <w:r>
        <w:rPr>
          <w:rFonts w:eastAsia="Arial Unicode MS" w:cs="Arial"/>
          <w:b/>
          <w:color w:val="000000"/>
          <w:sz w:val="28"/>
          <w:szCs w:val="28"/>
        </w:rPr>
        <w:t xml:space="preserve">“APROX S.A. DE C.V.”, </w:t>
      </w:r>
      <w:r>
        <w:rPr>
          <w:rFonts w:eastAsia="Arial Unicode MS" w:cs="Arial"/>
          <w:color w:val="000000"/>
          <w:sz w:val="28"/>
          <w:szCs w:val="28"/>
        </w:rPr>
        <w:t xml:space="preserve">es representada por la </w:t>
      </w:r>
      <w:r>
        <w:rPr>
          <w:rFonts w:eastAsia="Arial Unicode MS" w:cs="Arial"/>
          <w:b/>
          <w:color w:val="000000"/>
          <w:sz w:val="28"/>
          <w:szCs w:val="28"/>
        </w:rPr>
        <w:t>C. Liang Kai Yun,</w:t>
      </w:r>
      <w:r w:rsidRPr="00EE54DD">
        <w:rPr>
          <w:rFonts w:eastAsia="Arial Unicode MS" w:cs="Arial"/>
          <w:color w:val="000000"/>
          <w:sz w:val="28"/>
          <w:szCs w:val="28"/>
        </w:rPr>
        <w:t xml:space="preserve"> lo</w:t>
      </w:r>
      <w:r>
        <w:rPr>
          <w:rFonts w:eastAsia="Arial Unicode MS" w:cs="Arial"/>
          <w:color w:val="000000"/>
          <w:sz w:val="28"/>
          <w:szCs w:val="28"/>
        </w:rPr>
        <w:t xml:space="preserve"> cual consta en escritura pública número 21,370 veintiún mil trescientos setenta, de fecha 21 de noviembre del año 1997, </w:t>
      </w:r>
      <w:r>
        <w:rPr>
          <w:rFonts w:eastAsia="Arial Unicode MS" w:cs="Arial"/>
          <w:bCs/>
          <w:color w:val="000000"/>
          <w:sz w:val="28"/>
          <w:szCs w:val="28"/>
        </w:rPr>
        <w:t>otorgada ante la fe del L</w:t>
      </w:r>
      <w:r w:rsidRPr="00F11AB9">
        <w:rPr>
          <w:rFonts w:eastAsia="Arial Unicode MS" w:cs="Arial"/>
          <w:bCs/>
          <w:color w:val="000000"/>
          <w:sz w:val="28"/>
          <w:szCs w:val="28"/>
        </w:rPr>
        <w:t xml:space="preserve">icenciado </w:t>
      </w:r>
      <w:r>
        <w:rPr>
          <w:rFonts w:eastAsia="Arial Unicode MS" w:cs="Arial"/>
          <w:bCs/>
          <w:color w:val="000000"/>
          <w:sz w:val="28"/>
          <w:szCs w:val="28"/>
        </w:rPr>
        <w:t>Mario Alberto Cortés Rodríguez</w:t>
      </w:r>
      <w:r w:rsidRPr="00F11AB9">
        <w:rPr>
          <w:rFonts w:eastAsia="Arial Unicode MS" w:cs="Arial"/>
          <w:bCs/>
          <w:color w:val="000000"/>
          <w:sz w:val="28"/>
          <w:szCs w:val="28"/>
        </w:rPr>
        <w:t xml:space="preserve">, </w:t>
      </w:r>
      <w:r>
        <w:rPr>
          <w:rFonts w:eastAsia="Arial Unicode MS" w:cs="Arial"/>
          <w:bCs/>
          <w:color w:val="000000"/>
          <w:sz w:val="28"/>
          <w:szCs w:val="28"/>
        </w:rPr>
        <w:t xml:space="preserve">en aquel entonces </w:t>
      </w:r>
      <w:r w:rsidRPr="00F11AB9">
        <w:rPr>
          <w:rFonts w:eastAsia="Arial Unicode MS" w:cs="Arial"/>
          <w:bCs/>
          <w:color w:val="000000"/>
          <w:sz w:val="28"/>
          <w:szCs w:val="28"/>
        </w:rPr>
        <w:t xml:space="preserve">titular de la Notaría Púbica número </w:t>
      </w:r>
      <w:r>
        <w:rPr>
          <w:rFonts w:eastAsia="Arial Unicode MS" w:cs="Arial"/>
          <w:bCs/>
          <w:color w:val="000000"/>
          <w:sz w:val="28"/>
          <w:szCs w:val="28"/>
        </w:rPr>
        <w:t xml:space="preserve">106, </w:t>
      </w:r>
      <w:r>
        <w:rPr>
          <w:rFonts w:eastAsia="Arial Unicode MS" w:cs="Arial"/>
          <w:color w:val="000000"/>
          <w:sz w:val="28"/>
          <w:szCs w:val="28"/>
        </w:rPr>
        <w:t xml:space="preserve">en legal ejercicio </w:t>
      </w:r>
      <w:r w:rsidRPr="00A2423D">
        <w:rPr>
          <w:rFonts w:eastAsia="Arial Unicode MS" w:cs="Arial"/>
          <w:color w:val="000000"/>
          <w:sz w:val="28"/>
          <w:szCs w:val="28"/>
        </w:rPr>
        <w:t>en esta ciudad de León</w:t>
      </w:r>
      <w:r>
        <w:rPr>
          <w:rFonts w:eastAsia="Arial Unicode MS" w:cs="Arial"/>
          <w:color w:val="000000"/>
          <w:sz w:val="28"/>
          <w:szCs w:val="28"/>
        </w:rPr>
        <w:t>, Guanajuato.</w:t>
      </w:r>
    </w:p>
    <w:p w:rsidR="000B016E" w:rsidRDefault="000B016E" w:rsidP="000B016E">
      <w:pPr>
        <w:pStyle w:val="Textoindependiente"/>
        <w:rPr>
          <w:rFonts w:cs="Arial"/>
          <w:sz w:val="28"/>
          <w:szCs w:val="28"/>
        </w:rPr>
      </w:pPr>
    </w:p>
    <w:p w:rsidR="000B016E" w:rsidRDefault="000B016E" w:rsidP="000B016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V. </w:t>
      </w:r>
      <w:r>
        <w:rPr>
          <w:rFonts w:cs="Arial"/>
          <w:sz w:val="28"/>
          <w:szCs w:val="28"/>
        </w:rPr>
        <w:t>El valor de</w:t>
      </w:r>
      <w:r w:rsidRPr="00F1649B">
        <w:rPr>
          <w:rFonts w:cs="Arial"/>
          <w:sz w:val="28"/>
          <w:szCs w:val="28"/>
        </w:rPr>
        <w:t>l</w:t>
      </w:r>
      <w:r>
        <w:rPr>
          <w:rFonts w:cs="Arial"/>
          <w:sz w:val="28"/>
          <w:szCs w:val="28"/>
        </w:rPr>
        <w:t xml:space="preserve"> inmueble </w:t>
      </w:r>
      <w:r w:rsidRPr="00F1649B">
        <w:rPr>
          <w:rFonts w:cs="Arial"/>
          <w:sz w:val="28"/>
          <w:szCs w:val="28"/>
        </w:rPr>
        <w:t>materia de la afectación</w:t>
      </w:r>
      <w:r>
        <w:rPr>
          <w:rFonts w:cs="Arial"/>
          <w:sz w:val="28"/>
          <w:szCs w:val="28"/>
        </w:rPr>
        <w:t xml:space="preserve"> </w:t>
      </w:r>
      <w:r w:rsidRPr="00F1649B">
        <w:rPr>
          <w:rFonts w:cs="Arial"/>
          <w:sz w:val="28"/>
          <w:szCs w:val="28"/>
        </w:rPr>
        <w:t xml:space="preserve">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Pr="001D241A">
        <w:rPr>
          <w:rFonts w:cs="Arial"/>
          <w:b/>
          <w:sz w:val="28"/>
          <w:szCs w:val="28"/>
        </w:rPr>
        <w:t>$</w:t>
      </w:r>
      <w:r>
        <w:rPr>
          <w:rFonts w:cs="Arial"/>
          <w:b/>
          <w:sz w:val="28"/>
          <w:szCs w:val="28"/>
        </w:rPr>
        <w:t>3’857,100.0</w:t>
      </w:r>
      <w:r w:rsidRPr="001D241A">
        <w:rPr>
          <w:rFonts w:cs="Arial"/>
          <w:b/>
          <w:sz w:val="28"/>
          <w:szCs w:val="28"/>
        </w:rPr>
        <w:t>0 (</w:t>
      </w:r>
      <w:r>
        <w:rPr>
          <w:rFonts w:cs="Arial"/>
          <w:b/>
          <w:sz w:val="28"/>
          <w:szCs w:val="28"/>
        </w:rPr>
        <w:t>Tres millones ochocientos cincuenta y siete mil cien pesos 0</w:t>
      </w:r>
      <w:r w:rsidRPr="001D241A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 xml:space="preserve">la cantidad de </w:t>
      </w:r>
      <w:r w:rsidRPr="001D241A">
        <w:rPr>
          <w:rFonts w:cs="Arial"/>
          <w:sz w:val="28"/>
          <w:szCs w:val="28"/>
        </w:rPr>
        <w:t xml:space="preserve">según el avalúo realizado por </w:t>
      </w:r>
      <w:r>
        <w:rPr>
          <w:rFonts w:cs="Arial"/>
          <w:sz w:val="28"/>
          <w:szCs w:val="28"/>
        </w:rPr>
        <w:t xml:space="preserve">la Asociación de Valuadores del Bajío </w:t>
      </w:r>
      <w:r w:rsidRPr="001D241A">
        <w:rPr>
          <w:rFonts w:cs="Arial"/>
          <w:sz w:val="28"/>
          <w:szCs w:val="28"/>
        </w:rPr>
        <w:t xml:space="preserve">A.C., es de </w:t>
      </w:r>
      <w:r w:rsidRPr="001D241A">
        <w:rPr>
          <w:rFonts w:cs="Arial"/>
          <w:b/>
          <w:sz w:val="28"/>
          <w:szCs w:val="28"/>
        </w:rPr>
        <w:t>$</w:t>
      </w:r>
      <w:r>
        <w:rPr>
          <w:rFonts w:cs="Arial"/>
          <w:b/>
          <w:sz w:val="28"/>
          <w:szCs w:val="28"/>
        </w:rPr>
        <w:t>3</w:t>
      </w:r>
      <w:r w:rsidRPr="00A93AD4">
        <w:rPr>
          <w:rFonts w:cs="Arial"/>
          <w:b/>
          <w:sz w:val="28"/>
          <w:szCs w:val="28"/>
        </w:rPr>
        <w:t>’</w:t>
      </w:r>
      <w:r>
        <w:rPr>
          <w:rFonts w:cs="Arial"/>
          <w:b/>
          <w:sz w:val="28"/>
          <w:szCs w:val="28"/>
        </w:rPr>
        <w:t>639</w:t>
      </w:r>
      <w:r w:rsidRPr="00A93AD4">
        <w:rPr>
          <w:rFonts w:cs="Arial"/>
          <w:b/>
          <w:sz w:val="28"/>
          <w:szCs w:val="28"/>
        </w:rPr>
        <w:t>,</w:t>
      </w:r>
      <w:r>
        <w:rPr>
          <w:rFonts w:cs="Arial"/>
          <w:b/>
          <w:sz w:val="28"/>
          <w:szCs w:val="28"/>
        </w:rPr>
        <w:t>000</w:t>
      </w:r>
      <w:r w:rsidRPr="00A93AD4">
        <w:rPr>
          <w:rFonts w:cs="Arial"/>
          <w:b/>
          <w:sz w:val="28"/>
          <w:szCs w:val="28"/>
        </w:rPr>
        <w:t>.</w:t>
      </w:r>
      <w:r>
        <w:rPr>
          <w:rFonts w:cs="Arial"/>
          <w:b/>
          <w:sz w:val="28"/>
          <w:szCs w:val="28"/>
        </w:rPr>
        <w:t>0</w:t>
      </w:r>
      <w:r w:rsidRPr="00A93AD4">
        <w:rPr>
          <w:rFonts w:cs="Arial"/>
          <w:b/>
          <w:sz w:val="28"/>
          <w:szCs w:val="28"/>
        </w:rPr>
        <w:t>0 (</w:t>
      </w:r>
      <w:r>
        <w:rPr>
          <w:rFonts w:cs="Arial"/>
          <w:b/>
          <w:sz w:val="28"/>
          <w:szCs w:val="28"/>
        </w:rPr>
        <w:t>Tres</w:t>
      </w:r>
      <w:r w:rsidRPr="00A93AD4">
        <w:rPr>
          <w:rFonts w:cs="Arial"/>
          <w:b/>
          <w:sz w:val="28"/>
          <w:szCs w:val="28"/>
        </w:rPr>
        <w:t xml:space="preserve"> millones </w:t>
      </w:r>
      <w:r>
        <w:rPr>
          <w:rFonts w:cs="Arial"/>
          <w:b/>
          <w:sz w:val="28"/>
          <w:szCs w:val="28"/>
        </w:rPr>
        <w:t>seiscientos treinta y nueve mil pesos 0</w:t>
      </w:r>
      <w:r w:rsidRPr="00A93AD4">
        <w:rPr>
          <w:rFonts w:cs="Arial"/>
          <w:b/>
          <w:sz w:val="28"/>
          <w:szCs w:val="28"/>
        </w:rPr>
        <w:t>0/100 M.N.)</w:t>
      </w:r>
      <w:r w:rsidRPr="001D241A">
        <w:rPr>
          <w:rFonts w:cs="Arial"/>
          <w:b/>
          <w:sz w:val="28"/>
          <w:szCs w:val="28"/>
        </w:rPr>
        <w:t>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</w:t>
      </w:r>
      <w:r w:rsidRPr="0091454D">
        <w:rPr>
          <w:rFonts w:cs="Arial"/>
          <w:sz w:val="28"/>
          <w:szCs w:val="28"/>
        </w:rPr>
        <w:t xml:space="preserve">de </w:t>
      </w:r>
      <w:r w:rsidRPr="0091454D">
        <w:rPr>
          <w:rFonts w:cs="Arial"/>
          <w:b/>
          <w:sz w:val="28"/>
          <w:szCs w:val="28"/>
        </w:rPr>
        <w:t>$</w:t>
      </w:r>
      <w:r>
        <w:rPr>
          <w:rFonts w:cs="Arial"/>
          <w:b/>
          <w:sz w:val="28"/>
          <w:szCs w:val="28"/>
        </w:rPr>
        <w:t>3</w:t>
      </w:r>
      <w:r w:rsidRPr="0091454D">
        <w:rPr>
          <w:rFonts w:cs="Arial"/>
          <w:b/>
          <w:sz w:val="28"/>
          <w:szCs w:val="28"/>
        </w:rPr>
        <w:t>,</w:t>
      </w:r>
      <w:r>
        <w:rPr>
          <w:rFonts w:cs="Arial"/>
          <w:b/>
          <w:sz w:val="28"/>
          <w:szCs w:val="28"/>
        </w:rPr>
        <w:t>748</w:t>
      </w:r>
      <w:r w:rsidRPr="0091454D">
        <w:rPr>
          <w:rFonts w:cs="Arial"/>
          <w:b/>
          <w:sz w:val="28"/>
          <w:szCs w:val="28"/>
        </w:rPr>
        <w:t>,</w:t>
      </w:r>
      <w:r>
        <w:rPr>
          <w:rFonts w:cs="Arial"/>
          <w:b/>
          <w:sz w:val="28"/>
          <w:szCs w:val="28"/>
        </w:rPr>
        <w:t>050</w:t>
      </w:r>
      <w:r w:rsidRPr="0091454D">
        <w:rPr>
          <w:rFonts w:cs="Arial"/>
          <w:b/>
          <w:sz w:val="28"/>
          <w:szCs w:val="28"/>
        </w:rPr>
        <w:t>.</w:t>
      </w:r>
      <w:r>
        <w:rPr>
          <w:rFonts w:cs="Arial"/>
          <w:b/>
          <w:sz w:val="28"/>
          <w:szCs w:val="28"/>
        </w:rPr>
        <w:t>00</w:t>
      </w:r>
      <w:r w:rsidRPr="0091454D">
        <w:rPr>
          <w:rFonts w:cs="Arial"/>
          <w:b/>
          <w:sz w:val="28"/>
          <w:szCs w:val="28"/>
        </w:rPr>
        <w:t xml:space="preserve"> (</w:t>
      </w:r>
      <w:r>
        <w:rPr>
          <w:rFonts w:cs="Arial"/>
          <w:b/>
          <w:sz w:val="28"/>
          <w:szCs w:val="28"/>
        </w:rPr>
        <w:t>Tres</w:t>
      </w:r>
      <w:r w:rsidRPr="0091454D">
        <w:rPr>
          <w:rFonts w:cs="Arial"/>
          <w:b/>
          <w:sz w:val="28"/>
          <w:szCs w:val="28"/>
        </w:rPr>
        <w:t xml:space="preserve"> millones </w:t>
      </w:r>
      <w:r>
        <w:rPr>
          <w:rFonts w:cs="Arial"/>
          <w:b/>
          <w:sz w:val="28"/>
          <w:szCs w:val="28"/>
        </w:rPr>
        <w:t>setecientos cuarenta y ocho mil</w:t>
      </w:r>
      <w:r w:rsidRPr="0091454D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cincuenta </w:t>
      </w:r>
      <w:r w:rsidRPr="0091454D">
        <w:rPr>
          <w:rFonts w:cs="Arial"/>
          <w:b/>
          <w:sz w:val="28"/>
          <w:szCs w:val="28"/>
        </w:rPr>
        <w:t xml:space="preserve">pesos 00/100 M.N.) </w:t>
      </w:r>
      <w:r w:rsidRPr="0091454D">
        <w:rPr>
          <w:rFonts w:cs="Arial"/>
          <w:sz w:val="28"/>
          <w:szCs w:val="28"/>
        </w:rPr>
        <w:t>como pago de la afectación.</w:t>
      </w:r>
    </w:p>
    <w:p w:rsidR="000B016E" w:rsidRDefault="000B016E" w:rsidP="000B016E">
      <w:pPr>
        <w:pStyle w:val="Textoindependiente"/>
        <w:rPr>
          <w:rFonts w:cs="Arial"/>
          <w:sz w:val="28"/>
          <w:szCs w:val="28"/>
        </w:rPr>
      </w:pPr>
    </w:p>
    <w:p w:rsidR="000B016E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 xml:space="preserve">Reglamento de </w:t>
      </w:r>
      <w:r w:rsidRPr="00A2423D">
        <w:rPr>
          <w:rFonts w:ascii="Arial" w:hAnsi="Arial" w:cs="Arial"/>
          <w:bCs/>
          <w:sz w:val="28"/>
          <w:szCs w:val="28"/>
        </w:rPr>
        <w:lastRenderedPageBreak/>
        <w:t>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0B016E" w:rsidRDefault="000B016E" w:rsidP="000B016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0B016E" w:rsidRPr="00A2423D" w:rsidRDefault="000B016E" w:rsidP="000B01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0B016E" w:rsidRPr="00A2423D" w:rsidRDefault="000B016E" w:rsidP="000B01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0B016E" w:rsidRDefault="000B016E" w:rsidP="000B016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Pr="00A63C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“Calzada Hacienda la Pompa”,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fracción de terreno con una superficie de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7,277.53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siete mil doscientos setenta y siete punto cincuenta y tres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una superficie mayor del inmueble que se identifica como fracción de terreno que pertenece al lote 1, ubicado a las orillas del Barrio de San Miguel, mismo que formó parte de la Hacienda de Pompa y que actualmente linda con la Colonia Los Pinos y el Ejido de Pompa de esta ciudad, propiedad de la sociedad mercantil denominada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“APROX S.A. DE C.V.”.</w:t>
      </w:r>
    </w:p>
    <w:p w:rsidR="000B016E" w:rsidRDefault="000B016E" w:rsidP="000B016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0B016E" w:rsidRPr="00A2423D" w:rsidRDefault="000B016E" w:rsidP="000B016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0B016E" w:rsidRPr="00A2423D" w:rsidRDefault="000B016E" w:rsidP="000B016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0B016E" w:rsidRPr="00A2423D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Pr="00577F1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$3,748,050.00 (Tres millones setecientos cuarenta y ocho mil cincuenta pesos 00/100 M.N.) 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91454D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afectación del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inmueble</w:t>
      </w:r>
      <w:r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0B016E" w:rsidRPr="00A2423D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0B016E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necesarios para el cumplimiento del presente acuerdo;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0B016E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0B016E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ye a la Tesorería Municipal para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0B016E" w:rsidRDefault="000B016E" w:rsidP="000B016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0B016E" w:rsidRPr="00F1157E" w:rsidRDefault="000B016E" w:rsidP="000B016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1157E">
        <w:rPr>
          <w:rFonts w:ascii="Arial" w:hAnsi="Arial" w:cs="Arial"/>
          <w:b/>
          <w:sz w:val="28"/>
          <w:szCs w:val="28"/>
        </w:rPr>
        <w:t>A T E N T A M E N T E</w:t>
      </w:r>
    </w:p>
    <w:p w:rsidR="000B016E" w:rsidRPr="00F1157E" w:rsidRDefault="000B016E" w:rsidP="000B016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1157E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0B016E" w:rsidRPr="00F1157E" w:rsidRDefault="000B016E" w:rsidP="000B016E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:rsidR="000B016E" w:rsidRDefault="000B016E" w:rsidP="000B016E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León, Gto., 07 de diciembre</w:t>
      </w:r>
      <w:r w:rsidRPr="00F1157E">
        <w:rPr>
          <w:rFonts w:ascii="Arial" w:hAnsi="Arial" w:cs="Arial"/>
          <w:b/>
          <w:sz w:val="28"/>
          <w:szCs w:val="28"/>
        </w:rPr>
        <w:t xml:space="preserve"> de 2020.</w:t>
      </w:r>
    </w:p>
    <w:p w:rsidR="000B016E" w:rsidRPr="00F1157E" w:rsidRDefault="000B016E" w:rsidP="000B016E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0B016E" w:rsidRPr="003F4D20" w:rsidRDefault="000B016E" w:rsidP="000B016E">
      <w:pPr>
        <w:jc w:val="center"/>
        <w:rPr>
          <w:rFonts w:ascii="Arial" w:hAnsi="Arial" w:cs="Arial"/>
          <w:b/>
        </w:rPr>
      </w:pPr>
      <w:r w:rsidRPr="003F4D20">
        <w:rPr>
          <w:rFonts w:ascii="Arial" w:hAnsi="Arial" w:cs="Arial"/>
          <w:b/>
        </w:rPr>
        <w:t>“La administración pública municipal de León, y las personas que conformamos parte de ella, nos comprometemos a garantizar el derecho de las mujeres a vivir libres de violencia”</w:t>
      </w:r>
    </w:p>
    <w:p w:rsidR="000B016E" w:rsidRPr="00F1157E" w:rsidRDefault="000B016E" w:rsidP="000B016E">
      <w:pPr>
        <w:pStyle w:val="Sinespaciado"/>
        <w:rPr>
          <w:rFonts w:ascii="Arial" w:hAnsi="Arial" w:cs="Arial"/>
          <w:b/>
          <w:sz w:val="28"/>
          <w:szCs w:val="28"/>
        </w:rPr>
      </w:pPr>
    </w:p>
    <w:p w:rsidR="000B016E" w:rsidRPr="00F1157E" w:rsidRDefault="000B016E" w:rsidP="000B016E">
      <w:pPr>
        <w:keepNext/>
        <w:spacing w:after="0" w:line="240" w:lineRule="auto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0B016E" w:rsidRPr="00F1157E" w:rsidRDefault="000B016E" w:rsidP="000B016E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B016E" w:rsidRPr="00F1157E" w:rsidRDefault="000B016E" w:rsidP="000B016E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tabs>
          <w:tab w:val="left" w:pos="3945"/>
        </w:tabs>
        <w:spacing w:after="0" w:line="240" w:lineRule="auto"/>
        <w:rPr>
          <w:rFonts w:ascii="Harlow Solid Italic" w:hAnsi="Harlow Solid Italic" w:cs="Arial"/>
          <w:b/>
          <w:sz w:val="28"/>
          <w:szCs w:val="28"/>
        </w:rPr>
      </w:pPr>
    </w:p>
    <w:p w:rsidR="000B016E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</w:p>
    <w:p w:rsidR="000B016E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</w:p>
    <w:p w:rsidR="000B016E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</w:p>
    <w:p w:rsidR="000B016E" w:rsidRPr="00026E89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0B016E" w:rsidRPr="00F1157E" w:rsidRDefault="000B016E" w:rsidP="000B016E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LETICIA VILLEGAS NAVA</w:t>
      </w:r>
      <w:r>
        <w:rPr>
          <w:rFonts w:ascii="Arial" w:hAnsi="Arial" w:cs="Arial"/>
          <w:b/>
          <w:sz w:val="28"/>
          <w:szCs w:val="28"/>
        </w:rPr>
        <w:tab/>
      </w:r>
    </w:p>
    <w:p w:rsidR="000B016E" w:rsidRDefault="000B016E" w:rsidP="000B016E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SÍNDICA</w:t>
      </w:r>
      <w:r>
        <w:rPr>
          <w:rFonts w:ascii="Arial" w:hAnsi="Arial" w:cs="Arial"/>
          <w:b/>
          <w:sz w:val="28"/>
          <w:szCs w:val="28"/>
        </w:rPr>
        <w:tab/>
      </w:r>
    </w:p>
    <w:p w:rsidR="000B016E" w:rsidRDefault="000B016E" w:rsidP="000B016E">
      <w:pPr>
        <w:tabs>
          <w:tab w:val="left" w:pos="240"/>
          <w:tab w:val="right" w:pos="9404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lastRenderedPageBreak/>
        <w:tab/>
      </w:r>
    </w:p>
    <w:p w:rsidR="000B016E" w:rsidRPr="00026E89" w:rsidRDefault="000B016E" w:rsidP="000B016E">
      <w:pPr>
        <w:tabs>
          <w:tab w:val="left" w:pos="240"/>
          <w:tab w:val="right" w:pos="9404"/>
        </w:tabs>
        <w:spacing w:after="0" w:line="240" w:lineRule="auto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ab/>
        <w:t>Inasistencia Justificada</w:t>
      </w:r>
    </w:p>
    <w:p w:rsidR="000B016E" w:rsidRPr="00F1157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GILBERTO LÓPEZ JIMÉNEZ</w:t>
      </w:r>
    </w:p>
    <w:p w:rsidR="000B016E" w:rsidRPr="00F1157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REGIDOR</w:t>
      </w:r>
    </w:p>
    <w:p w:rsidR="000B016E" w:rsidRPr="00026E89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0B016E" w:rsidRPr="00F1157E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ANA MARÍA CARPIO MENDOZA</w:t>
      </w:r>
    </w:p>
    <w:p w:rsidR="000B016E" w:rsidRPr="00F1157E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</w:p>
    <w:p w:rsidR="000B016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B016E" w:rsidRPr="00026E89" w:rsidRDefault="000B016E" w:rsidP="000B016E">
      <w:pPr>
        <w:tabs>
          <w:tab w:val="right" w:pos="9404"/>
        </w:tabs>
        <w:spacing w:after="0" w:line="240" w:lineRule="auto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0B016E" w:rsidRPr="00F1157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ANA MARÍA ESQUIVEL ARRONA</w:t>
      </w:r>
    </w:p>
    <w:p w:rsidR="000B016E" w:rsidRPr="00F1157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0B016E" w:rsidRPr="00026E89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0B016E" w:rsidRPr="00F1157E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VANESSA MONTES DE OCA MAYAGOITIA</w:t>
      </w:r>
    </w:p>
    <w:p w:rsidR="000B016E" w:rsidRPr="00F1157E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</w:p>
    <w:p w:rsidR="000B016E" w:rsidRPr="00F1157E" w:rsidRDefault="000B016E" w:rsidP="000B016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tabs>
          <w:tab w:val="right" w:pos="9404"/>
        </w:tabs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0B016E" w:rsidRPr="00F1157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GABRIELA DEL CARMEN ECHEVE</w:t>
      </w:r>
      <w:r>
        <w:rPr>
          <w:rFonts w:ascii="Arial" w:hAnsi="Arial" w:cs="Arial"/>
          <w:b/>
          <w:sz w:val="28"/>
          <w:szCs w:val="28"/>
        </w:rPr>
        <w:t>R</w:t>
      </w:r>
      <w:r w:rsidRPr="00F1157E">
        <w:rPr>
          <w:rFonts w:ascii="Arial" w:hAnsi="Arial" w:cs="Arial"/>
          <w:b/>
          <w:sz w:val="28"/>
          <w:szCs w:val="28"/>
        </w:rPr>
        <w:t>RÍA GONZÁLEZ</w:t>
      </w:r>
    </w:p>
    <w:p w:rsidR="000B016E" w:rsidRPr="00F1157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0B016E" w:rsidRPr="00F1157E" w:rsidRDefault="000B016E" w:rsidP="000B016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</w:p>
    <w:p w:rsidR="000B016E" w:rsidRPr="00026E89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Inasistencia Justificada</w:t>
      </w:r>
    </w:p>
    <w:p w:rsidR="000B016E" w:rsidRPr="00F1157E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FERNANDA ODETTE RENTERÍA MUÑOZ</w:t>
      </w:r>
    </w:p>
    <w:p w:rsidR="000B016E" w:rsidRPr="00F1157E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</w:p>
    <w:p w:rsidR="000B016E" w:rsidRPr="00F1157E" w:rsidRDefault="000B016E" w:rsidP="000B016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0B016E" w:rsidRDefault="000B016E" w:rsidP="000B016E">
      <w:pPr>
        <w:spacing w:after="0" w:line="240" w:lineRule="auto"/>
        <w:jc w:val="right"/>
        <w:rPr>
          <w:rFonts w:ascii="Harlow Solid Italic" w:hAnsi="Harlow Solid Italic" w:cs="Arial"/>
          <w:color w:val="FF0000"/>
          <w:sz w:val="28"/>
          <w:szCs w:val="28"/>
        </w:rPr>
      </w:pPr>
    </w:p>
    <w:p w:rsidR="000B016E" w:rsidRPr="00026E89" w:rsidRDefault="000B016E" w:rsidP="000B016E">
      <w:pPr>
        <w:tabs>
          <w:tab w:val="right" w:pos="9404"/>
        </w:tabs>
        <w:spacing w:after="0" w:line="240" w:lineRule="auto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0B016E" w:rsidRPr="00F1157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C.P. GUILLERMO MORALES RUIZ ESPARZA</w:t>
      </w:r>
    </w:p>
    <w:p w:rsidR="000B016E" w:rsidRPr="00F1157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:rsidR="000B016E" w:rsidRPr="00F1157E" w:rsidRDefault="000B016E" w:rsidP="000B016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</w:p>
    <w:p w:rsidR="000B016E" w:rsidRPr="00026E89" w:rsidRDefault="000B016E" w:rsidP="000B016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lastRenderedPageBreak/>
        <w:t>Voto a favor</w:t>
      </w:r>
    </w:p>
    <w:p w:rsidR="000B016E" w:rsidRPr="00F1157E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LIC. LUIS LORENZO SANDOVAL ASCENCIO</w:t>
      </w:r>
    </w:p>
    <w:p w:rsidR="000B016E" w:rsidRPr="00F1157E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:rsidR="000B016E" w:rsidRPr="00F1157E" w:rsidRDefault="000B016E" w:rsidP="000B016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B016E" w:rsidRDefault="000B016E" w:rsidP="000B016E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0B016E" w:rsidRDefault="000B016E" w:rsidP="000B016E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0B016E" w:rsidRPr="00026E89" w:rsidRDefault="000B016E" w:rsidP="000B016E">
      <w:pPr>
        <w:tabs>
          <w:tab w:val="right" w:pos="9404"/>
        </w:tabs>
        <w:spacing w:after="0" w:line="240" w:lineRule="auto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0B016E" w:rsidRPr="00F1157E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LIC. URIEL IZASKÚN GONZÁLEZ LÓPEZ</w:t>
      </w:r>
    </w:p>
    <w:p w:rsidR="000B016E" w:rsidRPr="00FD0229" w:rsidRDefault="000B016E" w:rsidP="000B016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:rsidR="000B016E" w:rsidRPr="009F2D96" w:rsidRDefault="000B016E" w:rsidP="000B016E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E5879" w:rsidRDefault="005E5879"/>
    <w:sectPr w:rsidR="005E5879" w:rsidSect="00116DF9">
      <w:headerReference w:type="default" r:id="rId4"/>
      <w:footerReference w:type="even" r:id="rId5"/>
      <w:footerReference w:type="default" r:id="rId6"/>
      <w:pgSz w:w="12240" w:h="15840"/>
      <w:pgMar w:top="1985" w:right="1985" w:bottom="198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0B016E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0B016E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>
          <w:rPr>
            <w:sz w:val="14"/>
            <w:szCs w:val="14"/>
          </w:rPr>
          <w:t xml:space="preserve">DENOMINADA </w:t>
        </w:r>
        <w:r w:rsidRPr="00D30BE0">
          <w:rPr>
            <w:sz w:val="14"/>
            <w:szCs w:val="14"/>
          </w:rPr>
          <w:t>“CALZADA HACIENDA LA POMPA”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 xml:space="preserve">ESPECTO DE </w:t>
        </w:r>
        <w:r>
          <w:rPr>
            <w:sz w:val="14"/>
            <w:szCs w:val="14"/>
          </w:rPr>
          <w:t>UNA</w:t>
        </w:r>
        <w:r w:rsidRPr="00483AEA">
          <w:rPr>
            <w:sz w:val="14"/>
            <w:szCs w:val="14"/>
          </w:rPr>
          <w:t xml:space="preserve"> SUPERFICIE DE</w:t>
        </w:r>
        <w:r>
          <w:rPr>
            <w:sz w:val="14"/>
            <w:szCs w:val="14"/>
          </w:rPr>
          <w:t xml:space="preserve"> TERRENO DE </w:t>
        </w:r>
        <w:r w:rsidRPr="00D30BE0">
          <w:rPr>
            <w:sz w:val="14"/>
            <w:szCs w:val="14"/>
          </w:rPr>
          <w:t xml:space="preserve">7,277.53 M2 </w:t>
        </w:r>
        <w:r>
          <w:rPr>
            <w:sz w:val="14"/>
            <w:szCs w:val="14"/>
          </w:rPr>
          <w:t>.</w:t>
        </w:r>
      </w:p>
      <w:p w:rsidR="005D086A" w:rsidRDefault="000B016E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0B016E">
          <w:rPr>
            <w:noProof/>
            <w:lang w:val="es-ES"/>
          </w:rPr>
          <w:t>6</w:t>
        </w:r>
        <w:r>
          <w:fldChar w:fldCharType="end"/>
        </w:r>
      </w:p>
    </w:sdtContent>
  </w:sdt>
  <w:p w:rsidR="00E02574" w:rsidRPr="00E27A63" w:rsidRDefault="000B016E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0B016E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2942FE9B" wp14:editId="0A2E37D6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16E"/>
    <w:rsid w:val="000B016E"/>
    <w:rsid w:val="005E5879"/>
    <w:rsid w:val="00F0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A57A2"/>
  <w15:chartTrackingRefBased/>
  <w15:docId w15:val="{BB4E7EB2-BB27-4506-AC6A-348DD962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1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B01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016E"/>
  </w:style>
  <w:style w:type="paragraph" w:styleId="Piedepgina">
    <w:name w:val="footer"/>
    <w:basedOn w:val="Normal"/>
    <w:link w:val="PiedepginaCar"/>
    <w:uiPriority w:val="99"/>
    <w:unhideWhenUsed/>
    <w:rsid w:val="000B01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016E"/>
  </w:style>
  <w:style w:type="paragraph" w:styleId="Textoindependiente">
    <w:name w:val="Body Text"/>
    <w:basedOn w:val="Normal"/>
    <w:link w:val="TextoindependienteCar"/>
    <w:rsid w:val="000B016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016E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0B016E"/>
    <w:pPr>
      <w:spacing w:after="0" w:line="240" w:lineRule="auto"/>
    </w:pPr>
    <w:rPr>
      <w:rFonts w:ascii="Calibri" w:eastAsia="Times New Roman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0B01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B016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B016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funcion.edilicia</dc:creator>
  <cp:keywords/>
  <dc:description/>
  <cp:lastModifiedBy>funcion.edilicia</cp:lastModifiedBy>
  <cp:revision>1</cp:revision>
  <dcterms:created xsi:type="dcterms:W3CDTF">2020-12-08T17:50:00Z</dcterms:created>
  <dcterms:modified xsi:type="dcterms:W3CDTF">2020-12-08T17:52:00Z</dcterms:modified>
</cp:coreProperties>
</file>