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DD8" w:rsidRPr="00D45A5A" w:rsidRDefault="00DF6DD8" w:rsidP="00EB2C3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  <w:r w:rsidRPr="00D45A5A">
        <w:rPr>
          <w:rFonts w:ascii="Arial" w:eastAsia="Times New Roman" w:hAnsi="Arial" w:cs="Arial"/>
          <w:b/>
          <w:sz w:val="26"/>
          <w:szCs w:val="26"/>
        </w:rPr>
        <w:t>H. A</w:t>
      </w:r>
      <w:r w:rsidR="00326A9B" w:rsidRPr="00D45A5A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:rsidR="00DF6DD8" w:rsidRPr="00D45A5A" w:rsidRDefault="00326A9B" w:rsidP="00EB2C3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D45A5A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DF6DD8" w:rsidRPr="00D45A5A" w:rsidRDefault="00DF6DD8" w:rsidP="00EB2C36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DF6DD8" w:rsidRPr="00D45A5A" w:rsidRDefault="00DF6DD8" w:rsidP="00EB2C3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45A5A">
        <w:rPr>
          <w:rFonts w:ascii="Arial" w:hAnsi="Arial" w:cs="Arial"/>
          <w:sz w:val="26"/>
          <w:szCs w:val="26"/>
        </w:rPr>
        <w:t xml:space="preserve">Los suscritos integrantes de la </w:t>
      </w:r>
      <w:r w:rsidRPr="00D45A5A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D45A5A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B90B7C" w:rsidRPr="00D45A5A" w:rsidRDefault="00B90B7C" w:rsidP="00EB2C3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</w:p>
    <w:p w:rsidR="00DF6DD8" w:rsidRPr="00D45A5A" w:rsidRDefault="00DF6DD8" w:rsidP="00EB2C3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D45A5A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DF6DD8" w:rsidRPr="00D45A5A" w:rsidRDefault="00DF6DD8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A6285A" w:rsidRPr="00D45A5A" w:rsidRDefault="00A6285A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>I.</w:t>
      </w:r>
      <w:r w:rsidR="00B90B7C"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 xml:space="preserve"> 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La Constitución Política de los Estados Unidos Mexicanos establece que la seguridad pública es una función a cargo de la Federación, las entidades federativas y los Municipios, que comprende la prevención de los delitos, la investigación y persecución para hacerla efectiva, así como la sanción de las infracciones administrativas, en los términos de la ley, en las respectivas competencias que dicha Constitución señala y que la actuación de las instituciones de seguridad pública se regirá por los principios de legalidad, objetividad, eficiencia, profesionalismo, honradez y respeto a los derechos humanos reconocidos en esta Constitución.</w:t>
      </w:r>
    </w:p>
    <w:p w:rsidR="00A6285A" w:rsidRPr="00D45A5A" w:rsidRDefault="00A6285A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:rsidR="00A6285A" w:rsidRPr="00D45A5A" w:rsidRDefault="00A6285A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 w:rsidRPr="00D45A5A">
        <w:rPr>
          <w:rFonts w:ascii="Arial" w:eastAsia="Times New Roman" w:hAnsi="Arial" w:cs="Arial"/>
          <w:sz w:val="26"/>
          <w:szCs w:val="26"/>
          <w:lang w:eastAsia="es-ES"/>
        </w:rPr>
        <w:t>En correlación el artículo 115 fracción III inciso h), de la misma Constitución Federal refiere que el Municipio tendrá a su cargo la función y servicio público de seguridad pública.</w:t>
      </w:r>
    </w:p>
    <w:p w:rsidR="003519B5" w:rsidRPr="00D45A5A" w:rsidRDefault="003519B5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4779E4" w:rsidRPr="00D45A5A" w:rsidRDefault="00A6285A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45A5A">
        <w:rPr>
          <w:rFonts w:ascii="Arial" w:eastAsia="Times New Roman" w:hAnsi="Arial" w:cs="Arial"/>
          <w:b/>
          <w:sz w:val="26"/>
          <w:szCs w:val="26"/>
          <w:lang w:val="es-ES" w:eastAsia="es-ES"/>
        </w:rPr>
        <w:t>II.</w:t>
      </w:r>
      <w:r w:rsidR="00B90B7C" w:rsidRPr="00D45A5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6B6865" w:rsidRPr="00D45A5A">
        <w:rPr>
          <w:rFonts w:ascii="Arial" w:eastAsia="Times New Roman" w:hAnsi="Arial" w:cs="Arial"/>
          <w:sz w:val="26"/>
          <w:szCs w:val="26"/>
          <w:lang w:val="es-ES" w:eastAsia="es-ES"/>
        </w:rPr>
        <w:t>Por su parte, la</w:t>
      </w:r>
      <w:r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Ley General del Sistema Nacional de Seguridad Pública dispone que la seguridad pública es una función a cargo de la Federación, las entidades federativas y municipios, que tiene como fines salvaguardar la integridad y derechos de las personas, así como preservar las libertades, el orden y la paz públicos y comprende la prevención especial y general de los delitos, la sanción de las infracciones administrativas, así como la investigación y la persecución de los delitos y la reinserción social del sentenciado, en términos de dicha Ley, en las respectivas competencias establecidas en la Constitución Política de los Estados Unidos Mexicanos. </w:t>
      </w:r>
    </w:p>
    <w:p w:rsidR="004779E4" w:rsidRPr="00D45A5A" w:rsidRDefault="004779E4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6B6865" w:rsidRPr="00D45A5A" w:rsidRDefault="00A6285A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D45A5A">
        <w:rPr>
          <w:rFonts w:ascii="Arial" w:eastAsia="Times New Roman" w:hAnsi="Arial" w:cs="Arial"/>
          <w:sz w:val="26"/>
          <w:szCs w:val="26"/>
          <w:lang w:val="es-ES" w:eastAsia="es-ES"/>
        </w:rPr>
        <w:t>Así mismo refiere que el Estado desarrollará políticas</w:t>
      </w:r>
      <w:r w:rsidR="006B6865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materia de prevención social del delito con carácter integral, sobre las causas que generan la comisión de delitos y conductas antisociales, así como programas y acciones para fomentar en la sociedad valores culturales y cívicos, que induzcan el respeto a la legalidad y a la protección de las víctimas.</w:t>
      </w:r>
    </w:p>
    <w:p w:rsidR="006B6865" w:rsidRPr="00D45A5A" w:rsidRDefault="006B6865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8E5CBE" w:rsidRPr="00D45A5A" w:rsidRDefault="00A6285A" w:rsidP="00EB2C36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6"/>
          <w:szCs w:val="26"/>
        </w:rPr>
      </w:pPr>
      <w:r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>III.</w:t>
      </w:r>
      <w:r w:rsidR="00B90B7C"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 xml:space="preserve"> </w:t>
      </w:r>
      <w:r w:rsidR="00E745CF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Por su parte, 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la Ley</w:t>
      </w:r>
      <w:r w:rsidR="00E745CF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 para la Prevención Social de la Violencia y la Delincuencia del estado de Guanajuato y sus municipios, </w:t>
      </w:r>
      <w:r w:rsidR="00E36A0F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en su artículo 23 </w:t>
      </w:r>
      <w:r w:rsidR="008E5CBE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fracción I, </w:t>
      </w:r>
      <w:r w:rsidR="00E36A0F" w:rsidRPr="00D45A5A">
        <w:rPr>
          <w:rFonts w:ascii="Arial" w:eastAsia="Times New Roman" w:hAnsi="Arial" w:cs="Arial"/>
          <w:sz w:val="26"/>
          <w:szCs w:val="26"/>
          <w:lang w:eastAsia="es-ES"/>
        </w:rPr>
        <w:t>establece que c</w:t>
      </w:r>
      <w:r w:rsidR="00E36A0F" w:rsidRPr="00D45A5A">
        <w:rPr>
          <w:rFonts w:ascii="Arial" w:hAnsi="Arial" w:cs="Arial"/>
          <w:sz w:val="26"/>
          <w:szCs w:val="26"/>
        </w:rPr>
        <w:t xml:space="preserve">orresponde a los municipios, en materia de prevención social de la violencia y la delincuencia la siguiente atribución: </w:t>
      </w:r>
      <w:r w:rsidR="00E36A0F" w:rsidRPr="00D45A5A">
        <w:rPr>
          <w:rFonts w:ascii="Arial" w:hAnsi="Arial" w:cs="Arial"/>
          <w:b/>
          <w:i/>
          <w:sz w:val="26"/>
          <w:szCs w:val="26"/>
        </w:rPr>
        <w:t>Fracción I.- Elaborar e implementar un programa municipal para la prevención social de la violencia y la delincuencia, en cong</w:t>
      </w:r>
      <w:r w:rsidR="00A83300" w:rsidRPr="00D45A5A">
        <w:rPr>
          <w:rFonts w:ascii="Arial" w:hAnsi="Arial" w:cs="Arial"/>
          <w:b/>
          <w:i/>
          <w:sz w:val="26"/>
          <w:szCs w:val="26"/>
        </w:rPr>
        <w:t>ruencia con el programa estatal.</w:t>
      </w:r>
    </w:p>
    <w:p w:rsidR="008E5CBE" w:rsidRPr="00D45A5A" w:rsidRDefault="008E5CBE" w:rsidP="00EB2C36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6"/>
          <w:szCs w:val="26"/>
        </w:rPr>
      </w:pPr>
    </w:p>
    <w:p w:rsidR="008E5CBE" w:rsidRPr="00D45A5A" w:rsidRDefault="008E5CBE" w:rsidP="00EB2C36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D45A5A">
        <w:rPr>
          <w:rFonts w:ascii="Arial" w:hAnsi="Arial" w:cs="Arial"/>
          <w:sz w:val="26"/>
          <w:szCs w:val="26"/>
        </w:rPr>
        <w:t xml:space="preserve">Asimismo, el artículo 26 de la </w:t>
      </w:r>
      <w:r w:rsidR="00E300FF">
        <w:rPr>
          <w:rFonts w:ascii="Arial" w:hAnsi="Arial" w:cs="Arial"/>
          <w:sz w:val="26"/>
          <w:szCs w:val="26"/>
        </w:rPr>
        <w:t xml:space="preserve">citada 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Ley, señala que en </w:t>
      </w:r>
      <w:r w:rsidRPr="00D45A5A">
        <w:rPr>
          <w:rFonts w:ascii="Arial" w:hAnsi="Arial" w:cs="Arial"/>
          <w:sz w:val="26"/>
          <w:szCs w:val="26"/>
        </w:rPr>
        <w:t xml:space="preserve">cumplimiento con el objeto de la misma, las autoridades del Estado y los municipios, en el ámbito de sus atribuciones, deberán: </w:t>
      </w:r>
    </w:p>
    <w:p w:rsidR="008E5CBE" w:rsidRPr="00D45A5A" w:rsidRDefault="008E5CBE" w:rsidP="00EB2C3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E5CBE" w:rsidRPr="00D45A5A" w:rsidRDefault="008E5CBE" w:rsidP="004779E4">
      <w:pPr>
        <w:pStyle w:val="Prrafodelista"/>
        <w:numPr>
          <w:ilvl w:val="0"/>
          <w:numId w:val="22"/>
        </w:numPr>
        <w:spacing w:after="0" w:line="240" w:lineRule="auto"/>
        <w:ind w:left="567" w:hanging="436"/>
        <w:jc w:val="both"/>
        <w:rPr>
          <w:rFonts w:ascii="Arial" w:hAnsi="Arial" w:cs="Arial"/>
          <w:sz w:val="24"/>
          <w:szCs w:val="24"/>
        </w:rPr>
      </w:pPr>
      <w:r w:rsidRPr="00D45A5A">
        <w:rPr>
          <w:rFonts w:ascii="Arial" w:hAnsi="Arial" w:cs="Arial"/>
          <w:sz w:val="24"/>
          <w:szCs w:val="24"/>
        </w:rPr>
        <w:t xml:space="preserve">Proporcionar información para enfrentar los problemas derivados de la delincuencia, siempre que no violente los principios de confidencialidad y reserva de conformidad con la ley de la materia; </w:t>
      </w:r>
    </w:p>
    <w:p w:rsidR="008E5CBE" w:rsidRPr="00D45A5A" w:rsidRDefault="008E5CBE" w:rsidP="004779E4">
      <w:pPr>
        <w:pStyle w:val="Prrafodelista"/>
        <w:numPr>
          <w:ilvl w:val="0"/>
          <w:numId w:val="22"/>
        </w:numPr>
        <w:spacing w:after="0" w:line="240" w:lineRule="auto"/>
        <w:ind w:left="567" w:hanging="436"/>
        <w:jc w:val="both"/>
        <w:rPr>
          <w:rFonts w:ascii="Arial" w:hAnsi="Arial" w:cs="Arial"/>
          <w:sz w:val="24"/>
          <w:szCs w:val="24"/>
        </w:rPr>
      </w:pPr>
      <w:r w:rsidRPr="00D45A5A">
        <w:rPr>
          <w:rFonts w:ascii="Arial" w:hAnsi="Arial" w:cs="Arial"/>
          <w:sz w:val="24"/>
          <w:szCs w:val="24"/>
        </w:rPr>
        <w:t xml:space="preserve">Apoyar el intercambio de experiencias, investigación académica y aplicación práctica de conocimientos basados en evidencias; </w:t>
      </w:r>
    </w:p>
    <w:p w:rsidR="008E5CBE" w:rsidRPr="00D45A5A" w:rsidRDefault="008E5CBE" w:rsidP="004779E4">
      <w:pPr>
        <w:pStyle w:val="Prrafodelista"/>
        <w:numPr>
          <w:ilvl w:val="0"/>
          <w:numId w:val="22"/>
        </w:numPr>
        <w:spacing w:after="0" w:line="240" w:lineRule="auto"/>
        <w:ind w:left="567" w:hanging="436"/>
        <w:jc w:val="both"/>
        <w:rPr>
          <w:rFonts w:ascii="Arial" w:hAnsi="Arial" w:cs="Arial"/>
          <w:sz w:val="24"/>
          <w:szCs w:val="24"/>
        </w:rPr>
      </w:pPr>
      <w:r w:rsidRPr="00D45A5A">
        <w:rPr>
          <w:rFonts w:ascii="Arial" w:hAnsi="Arial" w:cs="Arial"/>
          <w:sz w:val="24"/>
          <w:szCs w:val="24"/>
        </w:rPr>
        <w:t xml:space="preserve">Realizar estudios periódicos sobre la victimización y la delincuencia; y </w:t>
      </w:r>
    </w:p>
    <w:p w:rsidR="008E5CBE" w:rsidRPr="00D45A5A" w:rsidRDefault="008E5CBE" w:rsidP="004779E4">
      <w:pPr>
        <w:pStyle w:val="Prrafodelista"/>
        <w:numPr>
          <w:ilvl w:val="0"/>
          <w:numId w:val="22"/>
        </w:numPr>
        <w:spacing w:after="0" w:line="240" w:lineRule="auto"/>
        <w:ind w:left="567" w:hanging="436"/>
        <w:jc w:val="both"/>
        <w:rPr>
          <w:rFonts w:ascii="Arial" w:hAnsi="Arial" w:cs="Arial"/>
          <w:sz w:val="24"/>
          <w:szCs w:val="24"/>
        </w:rPr>
      </w:pPr>
      <w:r w:rsidRPr="00D45A5A">
        <w:rPr>
          <w:rFonts w:ascii="Arial" w:hAnsi="Arial" w:cs="Arial"/>
          <w:sz w:val="24"/>
          <w:szCs w:val="24"/>
        </w:rPr>
        <w:t xml:space="preserve">Impulsar la participación ciudadana y comunitaria, en la prevención social de la violencia y la delincuencia. </w:t>
      </w:r>
    </w:p>
    <w:p w:rsidR="008E5CBE" w:rsidRPr="00D45A5A" w:rsidRDefault="008E5CBE" w:rsidP="00EB2C3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E5CBE" w:rsidRPr="00D45A5A" w:rsidRDefault="008E5CBE" w:rsidP="00EB2C3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45A5A">
        <w:rPr>
          <w:rFonts w:ascii="Arial" w:hAnsi="Arial" w:cs="Arial"/>
          <w:sz w:val="26"/>
          <w:szCs w:val="26"/>
        </w:rPr>
        <w:t>Las autoridades del gobierno del estado y los municipios, en el ámbito de sus respectivas atribuciones, deberán incluir a la prevención social de la violencia y la delincuencia en sus planes y programas.</w:t>
      </w:r>
    </w:p>
    <w:p w:rsidR="003519B5" w:rsidRPr="00D45A5A" w:rsidRDefault="003519B5" w:rsidP="00EB2C36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</w:p>
    <w:p w:rsidR="00A6285A" w:rsidRPr="00D45A5A" w:rsidRDefault="00E300FF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sz w:val="26"/>
          <w:szCs w:val="26"/>
          <w:lang w:eastAsia="es-ES"/>
        </w:rPr>
        <w:t>I</w:t>
      </w:r>
      <w:r w:rsidR="00A6285A" w:rsidRPr="00D45A5A">
        <w:rPr>
          <w:rFonts w:ascii="Arial" w:eastAsia="Times New Roman" w:hAnsi="Arial" w:cs="Arial"/>
          <w:b/>
          <w:sz w:val="26"/>
          <w:szCs w:val="26"/>
          <w:lang w:val="es-ES" w:eastAsia="es-ES"/>
        </w:rPr>
        <w:t>V.</w:t>
      </w:r>
      <w:r w:rsidR="00B90B7C" w:rsidRPr="00D45A5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201BEC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Aunado a ello, el artículo 30 de la Ley del Sistema de Seguridad Pública del Estado de Guanajuato, establece que los </w:t>
      </w:r>
      <w:r w:rsidR="00201BEC" w:rsidRPr="00D45A5A">
        <w:rPr>
          <w:rFonts w:ascii="Arial" w:eastAsia="Times New Roman" w:hAnsi="Arial" w:cs="Arial"/>
          <w:sz w:val="26"/>
          <w:szCs w:val="26"/>
          <w:lang w:eastAsia="es-ES"/>
        </w:rPr>
        <w:t>P</w:t>
      </w:r>
      <w:r w:rsidR="00A6285A" w:rsidRPr="00D45A5A">
        <w:rPr>
          <w:rFonts w:ascii="Arial" w:eastAsia="Times New Roman" w:hAnsi="Arial" w:cs="Arial"/>
          <w:sz w:val="26"/>
          <w:szCs w:val="26"/>
          <w:lang w:eastAsia="es-ES"/>
        </w:rPr>
        <w:t>rogramas de Seguridad Pública y de Prevención Social de la Violencia y Delincuencia del Estado y de los municipios, deben contener, entre otros, los siguientes aspectos:</w:t>
      </w:r>
    </w:p>
    <w:p w:rsidR="00A6285A" w:rsidRPr="00D45A5A" w:rsidRDefault="00A6285A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A6285A" w:rsidRPr="00D45A5A" w:rsidRDefault="00A6285A" w:rsidP="004779E4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D45A5A">
        <w:rPr>
          <w:rFonts w:ascii="Arial" w:eastAsia="Times New Roman" w:hAnsi="Arial" w:cs="Arial"/>
          <w:sz w:val="24"/>
          <w:szCs w:val="24"/>
          <w:lang w:eastAsia="es-ES"/>
        </w:rPr>
        <w:t>Un diagnóstico sobre la seguridad pública en el ámbito de su competencia;</w:t>
      </w:r>
    </w:p>
    <w:p w:rsidR="00A6285A" w:rsidRPr="00D45A5A" w:rsidRDefault="00A6285A" w:rsidP="004779E4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D45A5A">
        <w:rPr>
          <w:rFonts w:ascii="Arial" w:eastAsia="Times New Roman" w:hAnsi="Arial" w:cs="Arial"/>
          <w:sz w:val="24"/>
          <w:szCs w:val="24"/>
          <w:lang w:eastAsia="es-ES"/>
        </w:rPr>
        <w:t xml:space="preserve">La incorporación de la prevención como elemento central de las prioridades en la calidad de vida de las personas; </w:t>
      </w:r>
    </w:p>
    <w:p w:rsidR="00A6285A" w:rsidRPr="00D45A5A" w:rsidRDefault="00A6285A" w:rsidP="004779E4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D45A5A">
        <w:rPr>
          <w:rFonts w:ascii="Arial" w:eastAsia="Times New Roman" w:hAnsi="Arial" w:cs="Arial"/>
          <w:sz w:val="24"/>
          <w:szCs w:val="24"/>
          <w:lang w:eastAsia="es-ES"/>
        </w:rPr>
        <w:t>Los objetivos del programa;</w:t>
      </w:r>
    </w:p>
    <w:p w:rsidR="00A6285A" w:rsidRPr="00D45A5A" w:rsidRDefault="00A6285A" w:rsidP="004779E4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D45A5A">
        <w:rPr>
          <w:rFonts w:ascii="Arial" w:eastAsia="Times New Roman" w:hAnsi="Arial" w:cs="Arial"/>
          <w:sz w:val="24"/>
          <w:szCs w:val="24"/>
          <w:lang w:eastAsia="es-ES"/>
        </w:rPr>
        <w:t>Las estrategias para el logro de dichos objetivos;</w:t>
      </w:r>
    </w:p>
    <w:p w:rsidR="00A6285A" w:rsidRPr="00D45A5A" w:rsidRDefault="00A6285A" w:rsidP="004779E4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D45A5A">
        <w:rPr>
          <w:rFonts w:ascii="Arial" w:eastAsia="Times New Roman" w:hAnsi="Arial" w:cs="Arial"/>
          <w:sz w:val="24"/>
          <w:szCs w:val="24"/>
          <w:lang w:eastAsia="es-ES"/>
        </w:rPr>
        <w:t>Los subprogramas específicos, las acciones y metas operativas, los mecanismos previstos para la coordinación con otras entidades o dependencias federales, estatales y municipales, así como aquéllos que requieran concertación con los ciudadanos en los términos previstos por esta Ley;</w:t>
      </w:r>
    </w:p>
    <w:p w:rsidR="00A6285A" w:rsidRPr="00D45A5A" w:rsidRDefault="00A6285A" w:rsidP="004779E4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D45A5A">
        <w:rPr>
          <w:rFonts w:ascii="Arial" w:eastAsia="Times New Roman" w:hAnsi="Arial" w:cs="Arial"/>
          <w:sz w:val="24"/>
          <w:szCs w:val="24"/>
          <w:lang w:eastAsia="es-ES"/>
        </w:rPr>
        <w:t>Los responsables administrativos de su ejecución; y</w:t>
      </w:r>
    </w:p>
    <w:p w:rsidR="00A6285A" w:rsidRPr="00D45A5A" w:rsidRDefault="00A6285A" w:rsidP="004779E4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D45A5A">
        <w:rPr>
          <w:rFonts w:ascii="Arial" w:eastAsia="Times New Roman" w:hAnsi="Arial" w:cs="Arial"/>
          <w:sz w:val="24"/>
          <w:szCs w:val="24"/>
          <w:lang w:eastAsia="es-ES"/>
        </w:rPr>
        <w:t>Los protocolos de actuación para los auxiliares en materia de seguridad pública en acciones de seguridad pública.</w:t>
      </w:r>
    </w:p>
    <w:p w:rsidR="003519B5" w:rsidRPr="00D45A5A" w:rsidRDefault="003519B5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A6285A" w:rsidRPr="00D45A5A" w:rsidRDefault="00A6285A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>V.</w:t>
      </w:r>
      <w:r w:rsidR="00B90B7C"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 xml:space="preserve"> </w:t>
      </w:r>
      <w:r w:rsidR="009D3418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En esa misma tesitura, el artículo 99 de 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la Ley Orgánica Municipal para el Estado de Guanajuato</w:t>
      </w:r>
      <w:r w:rsidR="009D3418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, señala 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que los municipios deben contar, entre otros</w:t>
      </w:r>
      <w:r w:rsidR="000D280A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 instrumento</w:t>
      </w:r>
      <w:r w:rsidR="009D3418" w:rsidRPr="00D45A5A">
        <w:rPr>
          <w:rFonts w:ascii="Arial" w:eastAsia="Times New Roman" w:hAnsi="Arial" w:cs="Arial"/>
          <w:sz w:val="26"/>
          <w:szCs w:val="26"/>
          <w:lang w:eastAsia="es-ES"/>
        </w:rPr>
        <w:t>s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, con </w:t>
      </w:r>
      <w:r w:rsidR="000D280A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el 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Programa de Gobierno Municipal.</w:t>
      </w:r>
      <w:r w:rsidRPr="00D45A5A">
        <w:rPr>
          <w:rFonts w:ascii="Arial" w:eastAsia="Times New Roman" w:hAnsi="Arial" w:cs="Arial"/>
          <w:bCs/>
          <w:i/>
          <w:sz w:val="26"/>
          <w:szCs w:val="26"/>
          <w:lang w:eastAsia="es-ES"/>
        </w:rPr>
        <w:t xml:space="preserve"> </w:t>
      </w:r>
      <w:r w:rsidRPr="00D45A5A">
        <w:rPr>
          <w:rFonts w:ascii="Arial" w:eastAsia="Times New Roman" w:hAnsi="Arial" w:cs="Arial"/>
          <w:bCs/>
          <w:sz w:val="26"/>
          <w:szCs w:val="26"/>
          <w:lang w:eastAsia="es-ES"/>
        </w:rPr>
        <w:t xml:space="preserve">Así mismo </w:t>
      </w:r>
      <w:r w:rsidR="009D3418" w:rsidRPr="00D45A5A">
        <w:rPr>
          <w:rFonts w:ascii="Arial" w:eastAsia="Times New Roman" w:hAnsi="Arial" w:cs="Arial"/>
          <w:bCs/>
          <w:sz w:val="26"/>
          <w:szCs w:val="26"/>
          <w:lang w:eastAsia="es-ES"/>
        </w:rPr>
        <w:t xml:space="preserve">tiene como </w:t>
      </w:r>
      <w:r w:rsidRPr="00D45A5A">
        <w:rPr>
          <w:rFonts w:ascii="Arial" w:eastAsia="Times New Roman" w:hAnsi="Arial" w:cs="Arial"/>
          <w:bCs/>
          <w:sz w:val="26"/>
          <w:szCs w:val="26"/>
          <w:lang w:eastAsia="es-ES"/>
        </w:rPr>
        <w:t>atribución de los ayuntamientos e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n materia de gobierno y régimen interior, el fijar las</w:t>
      </w:r>
      <w:r w:rsidR="00801C4F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 bases para la elaboración del Plan Municipal de D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esarrollo, del Programa de Gobierno Municipal y de los programas derivados de este último y en su oportunidad, aprobar</w:t>
      </w:r>
      <w:r w:rsidR="009D3418" w:rsidRPr="00D45A5A">
        <w:rPr>
          <w:rFonts w:ascii="Arial" w:eastAsia="Times New Roman" w:hAnsi="Arial" w:cs="Arial"/>
          <w:sz w:val="26"/>
          <w:szCs w:val="26"/>
          <w:lang w:eastAsia="es-ES"/>
        </w:rPr>
        <w:t>los, evaluarlos y actualizarlos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.</w:t>
      </w:r>
    </w:p>
    <w:p w:rsidR="003519B5" w:rsidRPr="00D45A5A" w:rsidRDefault="003519B5" w:rsidP="00EB2C36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2F2B17" w:rsidRPr="00D45A5A" w:rsidRDefault="00A6285A" w:rsidP="00EB2C36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>VI.</w:t>
      </w:r>
      <w:r w:rsidR="00B90B7C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 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>El Pro</w:t>
      </w:r>
      <w:r w:rsidR="009D3418" w:rsidRPr="00D45A5A">
        <w:rPr>
          <w:rFonts w:ascii="Arial" w:eastAsia="Times New Roman" w:hAnsi="Arial" w:cs="Arial"/>
          <w:sz w:val="26"/>
          <w:szCs w:val="26"/>
          <w:lang w:eastAsia="es-ES"/>
        </w:rPr>
        <w:t>grama de Gobierno Municipal 2018-2021</w:t>
      </w:r>
      <w:r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 de</w:t>
      </w:r>
      <w:r w:rsidR="009D3418" w:rsidRPr="00D45A5A">
        <w:rPr>
          <w:rFonts w:ascii="Arial" w:eastAsia="Times New Roman" w:hAnsi="Arial" w:cs="Arial"/>
          <w:sz w:val="26"/>
          <w:szCs w:val="26"/>
          <w:lang w:eastAsia="es-ES"/>
        </w:rPr>
        <w:t>l Municipio de León, Gua</w:t>
      </w:r>
      <w:r w:rsidR="000F0FEC" w:rsidRPr="00D45A5A">
        <w:rPr>
          <w:rFonts w:ascii="Arial" w:eastAsia="Times New Roman" w:hAnsi="Arial" w:cs="Arial"/>
          <w:sz w:val="26"/>
          <w:szCs w:val="26"/>
          <w:lang w:eastAsia="es-ES"/>
        </w:rPr>
        <w:t xml:space="preserve">najuato, </w:t>
      </w:r>
      <w:r w:rsidR="002F2B17" w:rsidRPr="00D45A5A">
        <w:rPr>
          <w:rFonts w:ascii="Arial" w:hAnsi="Arial" w:cs="Arial"/>
          <w:color w:val="000000" w:themeColor="text1"/>
          <w:sz w:val="26"/>
          <w:szCs w:val="26"/>
        </w:rPr>
        <w:t xml:space="preserve">tiene como estrategia de seguridad </w:t>
      </w:r>
      <w:r w:rsidR="00801C4F" w:rsidRPr="00D45A5A">
        <w:rPr>
          <w:rFonts w:ascii="Arial" w:hAnsi="Arial" w:cs="Arial"/>
          <w:color w:val="000000" w:themeColor="text1"/>
          <w:sz w:val="26"/>
          <w:szCs w:val="26"/>
        </w:rPr>
        <w:t xml:space="preserve">la </w:t>
      </w:r>
      <w:r w:rsidR="002F2B17" w:rsidRPr="00D45A5A">
        <w:rPr>
          <w:rFonts w:ascii="Arial" w:hAnsi="Arial" w:cs="Arial"/>
          <w:color w:val="000000" w:themeColor="text1"/>
          <w:sz w:val="26"/>
          <w:szCs w:val="26"/>
        </w:rPr>
        <w:t xml:space="preserve">integrada en el nodo </w:t>
      </w:r>
      <w:r w:rsidR="002F2B17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>León Seguro e Incluyente, cuyo objetivo principal es el desarrollo de la cultura de la paz,</w:t>
      </w:r>
      <w:r w:rsidR="002F2B17" w:rsidRPr="00D45A5A">
        <w:rPr>
          <w:rFonts w:ascii="Arial" w:hAnsi="Arial" w:cs="Arial"/>
          <w:color w:val="000000" w:themeColor="text1"/>
          <w:sz w:val="26"/>
          <w:szCs w:val="26"/>
        </w:rPr>
        <w:t xml:space="preserve"> en torno al cual se estructuraron 7 proyectos que quedaron bajo la responsabilidad de la Secretaría de Seguridad Pública Municipal y otros 21 que quedaron bajo la responsabilidad de otras instancias municipales, con base en un enfoque de trabajo transversal.</w:t>
      </w:r>
    </w:p>
    <w:p w:rsidR="000F0FEC" w:rsidRPr="00D45A5A" w:rsidRDefault="000F0FEC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6C7948" w:rsidRPr="00D45A5A" w:rsidRDefault="00801C4F" w:rsidP="00EB2C36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45A5A">
        <w:rPr>
          <w:rFonts w:ascii="Arial" w:hAnsi="Arial" w:cs="Arial"/>
          <w:b/>
          <w:color w:val="000000" w:themeColor="text1"/>
          <w:sz w:val="26"/>
          <w:szCs w:val="26"/>
          <w:lang w:val="es-ES"/>
        </w:rPr>
        <w:t>VII.</w:t>
      </w:r>
      <w:r w:rsidRPr="00D45A5A">
        <w:rPr>
          <w:rFonts w:ascii="Arial" w:hAnsi="Arial" w:cs="Arial"/>
          <w:color w:val="000000" w:themeColor="text1"/>
          <w:sz w:val="26"/>
          <w:szCs w:val="26"/>
          <w:lang w:val="es-ES"/>
        </w:rPr>
        <w:t xml:space="preserve"> </w:t>
      </w:r>
      <w:r w:rsidR="002C7A3C" w:rsidRPr="00D45A5A">
        <w:rPr>
          <w:rFonts w:ascii="Arial" w:hAnsi="Arial" w:cs="Arial"/>
          <w:color w:val="000000" w:themeColor="text1"/>
          <w:sz w:val="26"/>
          <w:szCs w:val="26"/>
          <w:lang w:val="es-ES"/>
        </w:rPr>
        <w:t>Dentro de los principales</w:t>
      </w:r>
      <w:r w:rsidR="006C7948" w:rsidRPr="00D45A5A">
        <w:rPr>
          <w:rFonts w:ascii="Arial" w:hAnsi="Arial" w:cs="Arial"/>
          <w:color w:val="000000" w:themeColor="text1"/>
          <w:sz w:val="26"/>
          <w:szCs w:val="26"/>
        </w:rPr>
        <w:t xml:space="preserve"> objetivos que guían las estrategias para el presente </w:t>
      </w:r>
      <w:r w:rsidR="006C7948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>“</w:t>
      </w:r>
      <w:r w:rsidR="008E5CBE" w:rsidRPr="00D45A5A">
        <w:rPr>
          <w:rFonts w:ascii="Arial" w:hAnsi="Arial" w:cs="Arial"/>
          <w:b/>
          <w:i/>
          <w:sz w:val="26"/>
          <w:szCs w:val="26"/>
        </w:rPr>
        <w:t>Programa para la Prevención Social de la Violencia y la Delincuencia</w:t>
      </w:r>
      <w:r w:rsidR="008E5CBE"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>”</w:t>
      </w:r>
      <w:r w:rsidR="006C7948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>”,</w:t>
      </w:r>
      <w:r w:rsidR="006C7948" w:rsidRPr="00D45A5A">
        <w:rPr>
          <w:rFonts w:ascii="Arial" w:hAnsi="Arial" w:cs="Arial"/>
          <w:color w:val="000000" w:themeColor="text1"/>
          <w:sz w:val="26"/>
          <w:szCs w:val="26"/>
        </w:rPr>
        <w:t xml:space="preserve"> están</w:t>
      </w:r>
      <w:r w:rsidRPr="00D45A5A">
        <w:rPr>
          <w:rFonts w:ascii="Arial" w:hAnsi="Arial" w:cs="Arial"/>
          <w:color w:val="000000" w:themeColor="text1"/>
          <w:sz w:val="26"/>
          <w:szCs w:val="26"/>
        </w:rPr>
        <w:t xml:space="preserve"> las orientada</w:t>
      </w:r>
      <w:r w:rsidR="006C7948" w:rsidRPr="00D45A5A">
        <w:rPr>
          <w:rFonts w:ascii="Arial" w:hAnsi="Arial" w:cs="Arial"/>
          <w:color w:val="000000" w:themeColor="text1"/>
          <w:sz w:val="26"/>
          <w:szCs w:val="26"/>
        </w:rPr>
        <w:t xml:space="preserve">s a atender las principales demandas y exigencias de los ciudadanos:  </w:t>
      </w:r>
    </w:p>
    <w:p w:rsidR="006C7948" w:rsidRPr="00D45A5A" w:rsidRDefault="006C7948" w:rsidP="00EB2C3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:rsidR="00EB2C36" w:rsidRPr="00D45A5A" w:rsidRDefault="008E5CBE" w:rsidP="004779E4">
      <w:pPr>
        <w:pStyle w:val="Sinespaciado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A5A">
        <w:rPr>
          <w:rFonts w:ascii="Arial" w:hAnsi="Arial" w:cs="Arial"/>
          <w:color w:val="000000" w:themeColor="text1"/>
          <w:sz w:val="24"/>
          <w:szCs w:val="24"/>
        </w:rPr>
        <w:t>Consolidar una cultura de prevención basada en la seguridad de las personas</w:t>
      </w:r>
      <w:r w:rsidR="00EB2C36" w:rsidRPr="00D45A5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B2C36" w:rsidRPr="00D45A5A" w:rsidRDefault="00EB2C36" w:rsidP="004779E4">
      <w:pPr>
        <w:pStyle w:val="Prrafodelista"/>
        <w:numPr>
          <w:ilvl w:val="0"/>
          <w:numId w:val="20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A5A">
        <w:rPr>
          <w:rFonts w:ascii="Arial" w:hAnsi="Arial" w:cs="Arial"/>
          <w:color w:val="000000" w:themeColor="text1"/>
          <w:sz w:val="24"/>
          <w:szCs w:val="24"/>
        </w:rPr>
        <w:t xml:space="preserve">Reconstrucción del tejido social a través de la proximidad con la ciudadanía y respeto a los derechos humanos.  </w:t>
      </w:r>
    </w:p>
    <w:p w:rsidR="00EB2C36" w:rsidRPr="00D45A5A" w:rsidRDefault="00EB2C36" w:rsidP="004779E4">
      <w:pPr>
        <w:pStyle w:val="Sinespaciado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A5A">
        <w:rPr>
          <w:rFonts w:ascii="Arial" w:hAnsi="Arial" w:cs="Arial"/>
          <w:color w:val="000000" w:themeColor="text1"/>
          <w:sz w:val="24"/>
          <w:szCs w:val="24"/>
        </w:rPr>
        <w:t>R</w:t>
      </w:r>
      <w:r w:rsidR="008E5CBE" w:rsidRPr="00D45A5A">
        <w:rPr>
          <w:rFonts w:ascii="Arial" w:hAnsi="Arial" w:cs="Arial"/>
          <w:color w:val="000000" w:themeColor="text1"/>
          <w:sz w:val="24"/>
          <w:szCs w:val="24"/>
        </w:rPr>
        <w:t>educción de la criminalidad y la violencia, así como la sensación de la inseguridad toma</w:t>
      </w:r>
      <w:r w:rsidRPr="00D45A5A">
        <w:rPr>
          <w:rFonts w:ascii="Arial" w:hAnsi="Arial" w:cs="Arial"/>
          <w:color w:val="000000" w:themeColor="text1"/>
          <w:sz w:val="24"/>
          <w:szCs w:val="24"/>
        </w:rPr>
        <w:t>n</w:t>
      </w:r>
      <w:r w:rsidR="008E5CBE" w:rsidRPr="00D45A5A">
        <w:rPr>
          <w:rFonts w:ascii="Arial" w:hAnsi="Arial" w:cs="Arial"/>
          <w:color w:val="000000" w:themeColor="text1"/>
          <w:sz w:val="24"/>
          <w:szCs w:val="24"/>
        </w:rPr>
        <w:t>do como base una perspectiva integral y transversal</w:t>
      </w:r>
      <w:r w:rsidRPr="00D45A5A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779E4" w:rsidRPr="00D45A5A" w:rsidRDefault="004779E4" w:rsidP="00EB2C36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:rsidR="004779E4" w:rsidRPr="00D45A5A" w:rsidRDefault="006C7948" w:rsidP="00EB2C36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45A5A">
        <w:rPr>
          <w:rFonts w:ascii="Arial" w:hAnsi="Arial" w:cs="Arial"/>
          <w:color w:val="000000" w:themeColor="text1"/>
          <w:sz w:val="26"/>
          <w:szCs w:val="26"/>
        </w:rPr>
        <w:t xml:space="preserve">Es importante señalar que para la integración del </w:t>
      </w:r>
      <w:r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Programa </w:t>
      </w:r>
      <w:r w:rsidR="006B6865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>Transversal para la Prevención de las Violencias y la Reconstrucción del Tejido Social 2019 -2024</w:t>
      </w:r>
      <w:r w:rsidR="00E300FF"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 del Gobierno del Estado</w:t>
      </w:r>
      <w:r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, </w:t>
      </w:r>
      <w:r w:rsidRPr="00D45A5A">
        <w:rPr>
          <w:rFonts w:ascii="Arial" w:hAnsi="Arial" w:cs="Arial"/>
          <w:color w:val="000000" w:themeColor="text1"/>
          <w:sz w:val="26"/>
          <w:szCs w:val="26"/>
        </w:rPr>
        <w:t>se tomó en consideración las propuestas y estrategias que tanto el gobierno estatal como el federal han anunciado recientemente para los próx</w:t>
      </w:r>
      <w:r w:rsidR="004779E4" w:rsidRPr="00D45A5A">
        <w:rPr>
          <w:rFonts w:ascii="Arial" w:hAnsi="Arial" w:cs="Arial"/>
          <w:color w:val="000000" w:themeColor="text1"/>
          <w:sz w:val="26"/>
          <w:szCs w:val="26"/>
        </w:rPr>
        <w:t>imos 6 años, en específico en el “</w:t>
      </w:r>
      <w:r w:rsidR="004779E4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>Plan Estatal de Desarrollo Guanajuato 2040, así como del Programa de Gobierno del Estado de Guanajuato 2018 - 2024”,</w:t>
      </w:r>
      <w:r w:rsidR="004779E4" w:rsidRPr="00D45A5A">
        <w:rPr>
          <w:rFonts w:ascii="Arial" w:hAnsi="Arial" w:cs="Arial"/>
          <w:color w:val="000000" w:themeColor="text1"/>
          <w:sz w:val="26"/>
          <w:szCs w:val="26"/>
        </w:rPr>
        <w:t xml:space="preserve"> es así como el citado “Programa Transversal para la Prevención de las Violencias y la Reconstrucción del Tejido Social 2019 -2024”, se ajusta a las dimensiones y ejes del PED 2040 y el Programa de Gobierno Estatal.</w:t>
      </w:r>
    </w:p>
    <w:p w:rsidR="004779E4" w:rsidRDefault="004779E4" w:rsidP="00EB2C36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:rsidR="00E300FF" w:rsidRPr="00D45A5A" w:rsidRDefault="00E300FF" w:rsidP="00EB2C36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:rsidR="004779E4" w:rsidRPr="00D45A5A" w:rsidRDefault="00801C4F" w:rsidP="00EB2C36">
      <w:pPr>
        <w:spacing w:after="0" w:line="24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D45A5A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De igual manera </w:t>
      </w:r>
      <w:r w:rsidR="004779E4" w:rsidRPr="00D45A5A">
        <w:rPr>
          <w:rFonts w:ascii="Arial" w:hAnsi="Arial" w:cs="Arial"/>
          <w:color w:val="000000" w:themeColor="text1"/>
          <w:sz w:val="26"/>
          <w:szCs w:val="26"/>
        </w:rPr>
        <w:t xml:space="preserve">se cuenta con la </w:t>
      </w:r>
      <w:r w:rsidR="004779E4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“Estrategia Nacional de </w:t>
      </w:r>
      <w:r w:rsidR="002C7A3C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 xml:space="preserve">Seguridad </w:t>
      </w:r>
      <w:r w:rsidR="004779E4" w:rsidRPr="00D45A5A">
        <w:rPr>
          <w:rFonts w:ascii="Arial" w:hAnsi="Arial" w:cs="Arial"/>
          <w:b/>
          <w:i/>
          <w:color w:val="000000" w:themeColor="text1"/>
          <w:sz w:val="26"/>
          <w:szCs w:val="26"/>
        </w:rPr>
        <w:t>Pública”</w:t>
      </w:r>
      <w:r w:rsidR="004779E4" w:rsidRPr="00D45A5A">
        <w:rPr>
          <w:rFonts w:ascii="Arial" w:hAnsi="Arial" w:cs="Arial"/>
          <w:color w:val="000000" w:themeColor="text1"/>
          <w:sz w:val="26"/>
          <w:szCs w:val="26"/>
        </w:rPr>
        <w:t xml:space="preserve">, cuya finalidad es establecer en un marco de coordinación entre los diferentes niveles de Gobierno, atacar el origen estructural de la delincuencia, el crimen organizado y la violencia y en general todos aquellos aspectos que puedan poner en riesgo la seguridad pública, considerando a la prevención como un eje estratégico.  </w:t>
      </w:r>
    </w:p>
    <w:p w:rsidR="00B3747C" w:rsidRPr="00D45A5A" w:rsidRDefault="00B3747C" w:rsidP="00EB2C36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es-ES"/>
        </w:rPr>
      </w:pPr>
    </w:p>
    <w:p w:rsidR="00A6285A" w:rsidRPr="00D45A5A" w:rsidRDefault="00E300FF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>
        <w:rPr>
          <w:rFonts w:ascii="Arial" w:eastAsia="Times New Roman" w:hAnsi="Arial" w:cs="Arial"/>
          <w:b/>
          <w:sz w:val="26"/>
          <w:szCs w:val="26"/>
          <w:lang w:val="es-ES" w:eastAsia="es-ES"/>
        </w:rPr>
        <w:t>VIII</w:t>
      </w:r>
      <w:r w:rsidR="00A6285A" w:rsidRPr="00D45A5A">
        <w:rPr>
          <w:rFonts w:ascii="Arial" w:eastAsia="Times New Roman" w:hAnsi="Arial" w:cs="Arial"/>
          <w:b/>
          <w:sz w:val="26"/>
          <w:szCs w:val="26"/>
          <w:lang w:val="es-ES" w:eastAsia="es-ES"/>
        </w:rPr>
        <w:t>.</w:t>
      </w:r>
      <w:r w:rsidR="00B90B7C" w:rsidRPr="00D45A5A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A6285A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virtud de lo anterior, los integrantes de esta comisión </w:t>
      </w:r>
      <w:r w:rsidR="00B3747C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consideramos </w:t>
      </w:r>
      <w:r w:rsidR="00A6285A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conveniente la aprobación del </w:t>
      </w:r>
      <w:r w:rsidR="00A6285A"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>“</w:t>
      </w:r>
      <w:r w:rsidR="008E5CBE" w:rsidRPr="00D45A5A">
        <w:rPr>
          <w:rFonts w:ascii="Arial" w:hAnsi="Arial" w:cs="Arial"/>
          <w:b/>
          <w:i/>
          <w:sz w:val="26"/>
          <w:szCs w:val="26"/>
        </w:rPr>
        <w:t>Programa para la Prevención Social de la Violencia y la Delincuencia</w:t>
      </w:r>
      <w:r w:rsidR="00A6285A" w:rsidRPr="00D45A5A">
        <w:rPr>
          <w:rFonts w:ascii="Arial" w:eastAsia="Times New Roman" w:hAnsi="Arial" w:cs="Arial"/>
          <w:b/>
          <w:sz w:val="26"/>
          <w:szCs w:val="26"/>
          <w:lang w:eastAsia="es-ES"/>
        </w:rPr>
        <w:t>”</w:t>
      </w:r>
      <w:r w:rsidR="00A6285A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en los términos y condiciones del documento </w:t>
      </w:r>
      <w:r w:rsidR="00B90B7C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que como </w:t>
      </w:r>
      <w:r w:rsidR="00A6285A" w:rsidRPr="00D45A5A">
        <w:rPr>
          <w:rFonts w:ascii="Arial" w:eastAsia="Times New Roman" w:hAnsi="Arial" w:cs="Arial"/>
          <w:sz w:val="26"/>
          <w:szCs w:val="26"/>
          <w:lang w:val="es-ES" w:eastAsia="es-ES"/>
        </w:rPr>
        <w:t>anexo forma parte integral del presente dictamen.</w:t>
      </w:r>
    </w:p>
    <w:p w:rsidR="00A6285A" w:rsidRPr="00D45A5A" w:rsidRDefault="00A6285A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A6285A" w:rsidRPr="00D45A5A" w:rsidRDefault="00A6285A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  <w:r w:rsidRPr="00D45A5A">
        <w:rPr>
          <w:rFonts w:ascii="Arial" w:eastAsia="Times New Roman" w:hAnsi="Arial" w:cs="Arial"/>
          <w:sz w:val="26"/>
          <w:szCs w:val="26"/>
          <w:lang w:eastAsia="es-ES"/>
        </w:rPr>
        <w:t>Por lo anteriormente expuesto se somete a la consideración del Ayuntamiento, la propuesta del siguiente:</w:t>
      </w:r>
    </w:p>
    <w:p w:rsidR="00DB60F6" w:rsidRPr="00D45A5A" w:rsidRDefault="00DB60F6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B90B7C" w:rsidRPr="00D45A5A" w:rsidRDefault="00B90B7C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DF6DD8" w:rsidRPr="00D45A5A" w:rsidRDefault="00DF6DD8" w:rsidP="00EB2C3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D45A5A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DF6DD8" w:rsidRPr="00D45A5A" w:rsidRDefault="00DF6DD8" w:rsidP="00EB2C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A6285A" w:rsidRPr="00D45A5A" w:rsidRDefault="00B90B7C" w:rsidP="00EB2C36">
      <w:pPr>
        <w:keepNext/>
        <w:spacing w:after="0" w:line="240" w:lineRule="auto"/>
        <w:jc w:val="both"/>
        <w:outlineLvl w:val="4"/>
        <w:rPr>
          <w:rFonts w:ascii="Arial" w:hAnsi="Arial" w:cs="Arial"/>
          <w:sz w:val="26"/>
          <w:szCs w:val="26"/>
        </w:rPr>
      </w:pPr>
      <w:r w:rsidRPr="00D45A5A">
        <w:rPr>
          <w:rFonts w:ascii="Arial" w:hAnsi="Arial" w:cs="Arial"/>
          <w:b/>
          <w:sz w:val="26"/>
          <w:szCs w:val="26"/>
        </w:rPr>
        <w:t xml:space="preserve">Primero. </w:t>
      </w:r>
      <w:r w:rsidR="00A6285A" w:rsidRPr="00D45A5A">
        <w:rPr>
          <w:rFonts w:ascii="Arial" w:hAnsi="Arial" w:cs="Arial"/>
          <w:sz w:val="26"/>
          <w:szCs w:val="26"/>
        </w:rPr>
        <w:t>Con fundamento en lo</w:t>
      </w:r>
      <w:r w:rsidR="002F2B17" w:rsidRPr="00D45A5A">
        <w:rPr>
          <w:rFonts w:ascii="Arial" w:hAnsi="Arial" w:cs="Arial"/>
          <w:sz w:val="26"/>
          <w:szCs w:val="26"/>
        </w:rPr>
        <w:t xml:space="preserve">s artículos </w:t>
      </w:r>
      <w:r w:rsidR="00A6285A" w:rsidRPr="00D45A5A">
        <w:rPr>
          <w:rFonts w:ascii="Arial" w:hAnsi="Arial" w:cs="Arial"/>
          <w:bCs/>
          <w:sz w:val="26"/>
          <w:szCs w:val="26"/>
        </w:rPr>
        <w:t xml:space="preserve">76 fracción I, inciso d) y 99 </w:t>
      </w:r>
      <w:r w:rsidR="009B0C81" w:rsidRPr="00D45A5A">
        <w:rPr>
          <w:rFonts w:ascii="Arial" w:hAnsi="Arial" w:cs="Arial"/>
          <w:bCs/>
          <w:sz w:val="26"/>
          <w:szCs w:val="26"/>
        </w:rPr>
        <w:t xml:space="preserve">fracción II </w:t>
      </w:r>
      <w:r w:rsidR="00A6285A" w:rsidRPr="00D45A5A">
        <w:rPr>
          <w:rFonts w:ascii="Arial" w:hAnsi="Arial" w:cs="Arial"/>
          <w:bCs/>
          <w:sz w:val="26"/>
          <w:szCs w:val="26"/>
        </w:rPr>
        <w:t>de la Ley Orgánica Municipal para el Estado de Guanajuato</w:t>
      </w:r>
      <w:r w:rsidR="008D2C56" w:rsidRPr="00D45A5A">
        <w:rPr>
          <w:rFonts w:ascii="Arial" w:hAnsi="Arial" w:cs="Arial"/>
          <w:sz w:val="26"/>
          <w:szCs w:val="26"/>
        </w:rPr>
        <w:t xml:space="preserve"> y</w:t>
      </w:r>
      <w:r w:rsidR="00720A92" w:rsidRPr="00D45A5A">
        <w:rPr>
          <w:rFonts w:ascii="Arial" w:hAnsi="Arial" w:cs="Arial"/>
          <w:sz w:val="26"/>
          <w:szCs w:val="26"/>
        </w:rPr>
        <w:t xml:space="preserve"> 16 fracción II de la Ley del Sistema de Seguridad Pública del Estado de Guanajuato</w:t>
      </w:r>
      <w:r w:rsidR="008D2C56" w:rsidRPr="00D45A5A">
        <w:rPr>
          <w:rFonts w:ascii="Arial" w:hAnsi="Arial" w:cs="Arial"/>
          <w:sz w:val="26"/>
          <w:szCs w:val="26"/>
        </w:rPr>
        <w:t xml:space="preserve">, </w:t>
      </w:r>
      <w:r w:rsidR="008D2C56" w:rsidRPr="00D45A5A">
        <w:rPr>
          <w:rFonts w:ascii="Arial" w:hAnsi="Arial" w:cs="Arial"/>
          <w:b/>
          <w:i/>
          <w:sz w:val="26"/>
          <w:szCs w:val="26"/>
        </w:rPr>
        <w:t>s</w:t>
      </w:r>
      <w:r w:rsidR="00A6285A" w:rsidRPr="00D45A5A">
        <w:rPr>
          <w:rFonts w:ascii="Arial" w:hAnsi="Arial" w:cs="Arial"/>
          <w:b/>
          <w:i/>
          <w:sz w:val="26"/>
          <w:szCs w:val="26"/>
        </w:rPr>
        <w:t xml:space="preserve">e aprueba el </w:t>
      </w:r>
      <w:r w:rsidR="00BF44DC" w:rsidRPr="00D45A5A">
        <w:rPr>
          <w:rFonts w:ascii="Arial" w:hAnsi="Arial" w:cs="Arial"/>
          <w:b/>
          <w:i/>
          <w:sz w:val="26"/>
          <w:szCs w:val="26"/>
        </w:rPr>
        <w:t xml:space="preserve">Programa </w:t>
      </w:r>
      <w:r w:rsidR="003E138F" w:rsidRPr="00D45A5A">
        <w:rPr>
          <w:rFonts w:ascii="Arial" w:hAnsi="Arial" w:cs="Arial"/>
          <w:b/>
          <w:i/>
          <w:sz w:val="26"/>
          <w:szCs w:val="26"/>
        </w:rPr>
        <w:t>para la Prevención</w:t>
      </w:r>
      <w:r w:rsidR="003E138F" w:rsidRPr="00E300FF">
        <w:rPr>
          <w:rFonts w:ascii="Arial" w:hAnsi="Arial" w:cs="Arial"/>
          <w:b/>
          <w:i/>
          <w:sz w:val="26"/>
          <w:szCs w:val="26"/>
        </w:rPr>
        <w:t xml:space="preserve"> </w:t>
      </w:r>
      <w:r w:rsidR="00BF44DC" w:rsidRPr="00E300FF">
        <w:rPr>
          <w:rFonts w:ascii="Arial" w:hAnsi="Arial" w:cs="Arial"/>
          <w:b/>
          <w:i/>
          <w:sz w:val="26"/>
          <w:szCs w:val="26"/>
        </w:rPr>
        <w:t xml:space="preserve">Social </w:t>
      </w:r>
      <w:r w:rsidR="003E138F" w:rsidRPr="00E300FF">
        <w:rPr>
          <w:rFonts w:ascii="Arial" w:hAnsi="Arial" w:cs="Arial"/>
          <w:b/>
          <w:i/>
          <w:sz w:val="26"/>
          <w:szCs w:val="26"/>
        </w:rPr>
        <w:t xml:space="preserve">de la Violencia y la </w:t>
      </w:r>
      <w:r w:rsidR="00D747CA" w:rsidRPr="00E300FF">
        <w:rPr>
          <w:rFonts w:ascii="Arial" w:hAnsi="Arial" w:cs="Arial"/>
          <w:b/>
          <w:i/>
          <w:sz w:val="26"/>
          <w:szCs w:val="26"/>
        </w:rPr>
        <w:t>Delincuencia</w:t>
      </w:r>
      <w:r w:rsidR="00A6285A" w:rsidRPr="00E300FF">
        <w:rPr>
          <w:rFonts w:ascii="Arial" w:hAnsi="Arial" w:cs="Arial"/>
          <w:b/>
          <w:i/>
          <w:sz w:val="26"/>
          <w:szCs w:val="26"/>
        </w:rPr>
        <w:t>,</w:t>
      </w:r>
      <w:r w:rsidR="00BF44DC" w:rsidRPr="00E300FF">
        <w:rPr>
          <w:rFonts w:ascii="Arial" w:hAnsi="Arial" w:cs="Arial"/>
          <w:b/>
          <w:i/>
          <w:sz w:val="26"/>
          <w:szCs w:val="26"/>
        </w:rPr>
        <w:t xml:space="preserve"> del Municipio de León, Guanajuato,</w:t>
      </w:r>
      <w:r w:rsidR="00A6285A" w:rsidRPr="00E300FF">
        <w:rPr>
          <w:rFonts w:ascii="Arial" w:hAnsi="Arial" w:cs="Arial"/>
          <w:b/>
          <w:i/>
          <w:sz w:val="26"/>
          <w:szCs w:val="26"/>
        </w:rPr>
        <w:t xml:space="preserve"> </w:t>
      </w:r>
      <w:r w:rsidR="00A6285A" w:rsidRPr="00D45A5A">
        <w:rPr>
          <w:rFonts w:ascii="Arial" w:hAnsi="Arial" w:cs="Arial"/>
          <w:sz w:val="26"/>
          <w:szCs w:val="26"/>
          <w:lang w:val="es-ES"/>
        </w:rPr>
        <w:t>en los términos y condiciones de</w:t>
      </w:r>
      <w:r w:rsidRPr="00D45A5A">
        <w:rPr>
          <w:rFonts w:ascii="Arial" w:hAnsi="Arial" w:cs="Arial"/>
          <w:sz w:val="26"/>
          <w:szCs w:val="26"/>
          <w:lang w:val="es-ES"/>
        </w:rPr>
        <w:t>l</w:t>
      </w:r>
      <w:r w:rsidR="00A6285A" w:rsidRPr="00D45A5A">
        <w:rPr>
          <w:rFonts w:ascii="Arial" w:hAnsi="Arial" w:cs="Arial"/>
          <w:sz w:val="26"/>
          <w:szCs w:val="26"/>
          <w:lang w:val="es-ES"/>
        </w:rPr>
        <w:t xml:space="preserve"> documento</w:t>
      </w:r>
      <w:r w:rsidRPr="00D45A5A">
        <w:rPr>
          <w:rFonts w:ascii="Arial" w:hAnsi="Arial" w:cs="Arial"/>
          <w:sz w:val="26"/>
          <w:szCs w:val="26"/>
          <w:lang w:val="es-ES"/>
        </w:rPr>
        <w:t xml:space="preserve"> </w:t>
      </w:r>
      <w:r w:rsidR="00A6285A" w:rsidRPr="00D45A5A">
        <w:rPr>
          <w:rFonts w:ascii="Arial" w:hAnsi="Arial" w:cs="Arial"/>
          <w:sz w:val="26"/>
          <w:szCs w:val="26"/>
          <w:lang w:val="es-ES"/>
        </w:rPr>
        <w:t>que como anexo forma parte integral d</w:t>
      </w:r>
      <w:r w:rsidRPr="00D45A5A">
        <w:rPr>
          <w:rFonts w:ascii="Arial" w:hAnsi="Arial" w:cs="Arial"/>
          <w:sz w:val="26"/>
          <w:szCs w:val="26"/>
          <w:lang w:val="es-ES"/>
        </w:rPr>
        <w:t>el presente acuerdo</w:t>
      </w:r>
      <w:r w:rsidR="00A6285A" w:rsidRPr="00D45A5A">
        <w:rPr>
          <w:rFonts w:ascii="Arial" w:hAnsi="Arial" w:cs="Arial"/>
          <w:sz w:val="26"/>
          <w:szCs w:val="26"/>
          <w:lang w:val="es-ES"/>
        </w:rPr>
        <w:t>.</w:t>
      </w:r>
    </w:p>
    <w:p w:rsidR="003519B5" w:rsidRPr="00D45A5A" w:rsidRDefault="003519B5" w:rsidP="00EB2C36">
      <w:pPr>
        <w:keepNext/>
        <w:spacing w:after="0" w:line="240" w:lineRule="auto"/>
        <w:jc w:val="both"/>
        <w:outlineLvl w:val="4"/>
        <w:rPr>
          <w:rFonts w:ascii="Arial" w:hAnsi="Arial" w:cs="Arial"/>
          <w:sz w:val="26"/>
          <w:szCs w:val="26"/>
        </w:rPr>
      </w:pPr>
    </w:p>
    <w:p w:rsidR="00A6285A" w:rsidRPr="00D45A5A" w:rsidRDefault="00B90B7C" w:rsidP="00EB2C36">
      <w:pPr>
        <w:keepNext/>
        <w:spacing w:after="0" w:line="240" w:lineRule="auto"/>
        <w:jc w:val="both"/>
        <w:outlineLvl w:val="4"/>
        <w:rPr>
          <w:rFonts w:ascii="Arial" w:hAnsi="Arial" w:cs="Arial"/>
          <w:sz w:val="26"/>
          <w:szCs w:val="26"/>
        </w:rPr>
      </w:pPr>
      <w:r w:rsidRPr="00D45A5A">
        <w:rPr>
          <w:rFonts w:ascii="Arial" w:hAnsi="Arial" w:cs="Arial"/>
          <w:b/>
          <w:sz w:val="26"/>
          <w:szCs w:val="26"/>
        </w:rPr>
        <w:t xml:space="preserve">Segundo. </w:t>
      </w:r>
      <w:r w:rsidR="00A6285A" w:rsidRPr="00D45A5A">
        <w:rPr>
          <w:rFonts w:ascii="Arial" w:hAnsi="Arial" w:cs="Arial"/>
          <w:sz w:val="26"/>
          <w:szCs w:val="26"/>
        </w:rPr>
        <w:t xml:space="preserve">Se </w:t>
      </w:r>
      <w:r w:rsidR="00A6285A" w:rsidRPr="00D45A5A">
        <w:rPr>
          <w:rFonts w:ascii="Arial" w:hAnsi="Arial" w:cs="Arial"/>
          <w:b/>
          <w:i/>
          <w:sz w:val="26"/>
          <w:szCs w:val="26"/>
        </w:rPr>
        <w:t>instruye</w:t>
      </w:r>
      <w:r w:rsidR="00A6285A" w:rsidRPr="00D45A5A">
        <w:rPr>
          <w:rFonts w:ascii="Arial" w:hAnsi="Arial" w:cs="Arial"/>
          <w:i/>
          <w:sz w:val="26"/>
          <w:szCs w:val="26"/>
        </w:rPr>
        <w:t xml:space="preserve"> </w:t>
      </w:r>
      <w:r w:rsidR="00A6285A" w:rsidRPr="00D45A5A">
        <w:rPr>
          <w:rFonts w:ascii="Arial" w:hAnsi="Arial" w:cs="Arial"/>
          <w:sz w:val="26"/>
          <w:szCs w:val="26"/>
        </w:rPr>
        <w:t>a la Secretaría de Seguridad Pública para que realice las gestiones administrativas y legales que sean necesarias para el seguimiento y cumplimiento del</w:t>
      </w:r>
      <w:r w:rsidR="003E138F" w:rsidRPr="00D45A5A">
        <w:rPr>
          <w:rFonts w:ascii="Arial" w:hAnsi="Arial" w:cs="Arial"/>
          <w:b/>
          <w:i/>
          <w:sz w:val="26"/>
          <w:szCs w:val="26"/>
        </w:rPr>
        <w:t xml:space="preserve"> Programa para la Prevención </w:t>
      </w:r>
      <w:r w:rsidR="00BF44DC" w:rsidRPr="00D45A5A">
        <w:rPr>
          <w:rFonts w:ascii="Arial" w:hAnsi="Arial" w:cs="Arial"/>
          <w:b/>
          <w:i/>
          <w:sz w:val="26"/>
          <w:szCs w:val="26"/>
        </w:rPr>
        <w:t xml:space="preserve">Social </w:t>
      </w:r>
      <w:r w:rsidR="003E138F" w:rsidRPr="00D45A5A">
        <w:rPr>
          <w:rFonts w:ascii="Arial" w:hAnsi="Arial" w:cs="Arial"/>
          <w:b/>
          <w:i/>
          <w:sz w:val="26"/>
          <w:szCs w:val="26"/>
        </w:rPr>
        <w:t xml:space="preserve">de la Violencia y la </w:t>
      </w:r>
      <w:r w:rsidR="00D747CA" w:rsidRPr="00D45A5A">
        <w:rPr>
          <w:rFonts w:ascii="Arial" w:hAnsi="Arial" w:cs="Arial"/>
          <w:b/>
          <w:i/>
          <w:sz w:val="26"/>
          <w:szCs w:val="26"/>
        </w:rPr>
        <w:t xml:space="preserve">Delincuencia </w:t>
      </w:r>
      <w:r w:rsidR="00B1743D" w:rsidRPr="00D45A5A">
        <w:rPr>
          <w:rFonts w:ascii="Arial" w:hAnsi="Arial" w:cs="Arial"/>
          <w:b/>
          <w:i/>
          <w:sz w:val="26"/>
          <w:szCs w:val="26"/>
        </w:rPr>
        <w:t>d</w:t>
      </w:r>
      <w:r w:rsidR="00A6285A" w:rsidRPr="00D45A5A">
        <w:rPr>
          <w:rFonts w:ascii="Arial" w:hAnsi="Arial" w:cs="Arial"/>
          <w:b/>
          <w:i/>
          <w:sz w:val="26"/>
          <w:szCs w:val="26"/>
        </w:rPr>
        <w:t>e</w:t>
      </w:r>
      <w:r w:rsidR="000D280A" w:rsidRPr="00D45A5A">
        <w:rPr>
          <w:rFonts w:ascii="Arial" w:hAnsi="Arial" w:cs="Arial"/>
          <w:b/>
          <w:i/>
          <w:sz w:val="26"/>
          <w:szCs w:val="26"/>
        </w:rPr>
        <w:t>l</w:t>
      </w:r>
      <w:r w:rsidR="00A6285A" w:rsidRPr="00D45A5A">
        <w:rPr>
          <w:rFonts w:ascii="Arial" w:hAnsi="Arial" w:cs="Arial"/>
          <w:b/>
          <w:i/>
          <w:sz w:val="26"/>
          <w:szCs w:val="26"/>
        </w:rPr>
        <w:t xml:space="preserve"> </w:t>
      </w:r>
      <w:r w:rsidR="000D280A" w:rsidRPr="00D45A5A">
        <w:rPr>
          <w:rFonts w:ascii="Arial" w:hAnsi="Arial" w:cs="Arial"/>
          <w:b/>
          <w:i/>
          <w:sz w:val="26"/>
          <w:szCs w:val="26"/>
        </w:rPr>
        <w:t>M</w:t>
      </w:r>
      <w:r w:rsidR="00A6285A" w:rsidRPr="00D45A5A">
        <w:rPr>
          <w:rFonts w:ascii="Arial" w:hAnsi="Arial" w:cs="Arial"/>
          <w:b/>
          <w:i/>
          <w:sz w:val="26"/>
          <w:szCs w:val="26"/>
        </w:rPr>
        <w:t>unicipio de León, Guanajuato.</w:t>
      </w:r>
    </w:p>
    <w:p w:rsidR="00E962AE" w:rsidRPr="00D45A5A" w:rsidRDefault="00E962AE" w:rsidP="00EB2C3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B1743D" w:rsidRPr="00D45A5A" w:rsidRDefault="00E203BF" w:rsidP="00EB2C3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D45A5A">
        <w:rPr>
          <w:rFonts w:ascii="Arial" w:hAnsi="Arial" w:cs="Arial"/>
          <w:b/>
          <w:sz w:val="26"/>
          <w:szCs w:val="26"/>
        </w:rPr>
        <w:t xml:space="preserve">Tercero. </w:t>
      </w:r>
      <w:r w:rsidR="00B1743D" w:rsidRPr="00D45A5A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Publíquese el presente acuerdo en el Periódico Oficial del Gobierno del Estado de Guanajuato,</w:t>
      </w:r>
      <w:r w:rsidR="00B1743D" w:rsidRPr="00D45A5A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D747CA" w:rsidRPr="00D45A5A">
        <w:rPr>
          <w:rFonts w:ascii="Arial" w:hAnsi="Arial" w:cs="Arial"/>
          <w:sz w:val="26"/>
          <w:szCs w:val="26"/>
        </w:rPr>
        <w:t>con fundamento en los</w:t>
      </w:r>
      <w:r w:rsidR="00B1743D" w:rsidRPr="00D45A5A">
        <w:rPr>
          <w:rFonts w:ascii="Arial" w:hAnsi="Arial" w:cs="Arial"/>
          <w:sz w:val="26"/>
          <w:szCs w:val="26"/>
        </w:rPr>
        <w:t xml:space="preserve"> artículo</w:t>
      </w:r>
      <w:r w:rsidR="00D747CA" w:rsidRPr="00D45A5A">
        <w:rPr>
          <w:rFonts w:ascii="Arial" w:hAnsi="Arial" w:cs="Arial"/>
          <w:sz w:val="26"/>
          <w:szCs w:val="26"/>
        </w:rPr>
        <w:t>s 102-1 y</w:t>
      </w:r>
      <w:r w:rsidR="00B1743D" w:rsidRPr="00D45A5A">
        <w:rPr>
          <w:rFonts w:ascii="Arial" w:hAnsi="Arial" w:cs="Arial"/>
          <w:sz w:val="26"/>
          <w:szCs w:val="26"/>
        </w:rPr>
        <w:t xml:space="preserve"> </w:t>
      </w:r>
      <w:r w:rsidRPr="00D45A5A">
        <w:rPr>
          <w:rFonts w:ascii="Arial" w:hAnsi="Arial" w:cs="Arial"/>
          <w:sz w:val="26"/>
          <w:szCs w:val="26"/>
        </w:rPr>
        <w:t>103</w:t>
      </w:r>
      <w:r w:rsidR="00B1743D" w:rsidRPr="00D45A5A">
        <w:rPr>
          <w:rFonts w:ascii="Arial" w:hAnsi="Arial" w:cs="Arial"/>
          <w:sz w:val="26"/>
          <w:szCs w:val="26"/>
        </w:rPr>
        <w:t xml:space="preserve"> de la Ley </w:t>
      </w:r>
      <w:r w:rsidRPr="00D45A5A">
        <w:rPr>
          <w:rFonts w:ascii="Arial" w:hAnsi="Arial" w:cs="Arial"/>
          <w:sz w:val="26"/>
          <w:szCs w:val="26"/>
        </w:rPr>
        <w:t xml:space="preserve">Orgánica Municipal para </w:t>
      </w:r>
      <w:r w:rsidR="00B1743D" w:rsidRPr="00D45A5A">
        <w:rPr>
          <w:rFonts w:ascii="Arial" w:hAnsi="Arial" w:cs="Arial"/>
          <w:sz w:val="26"/>
          <w:szCs w:val="26"/>
        </w:rPr>
        <w:t>el Estado de Guanajuato.</w:t>
      </w:r>
    </w:p>
    <w:p w:rsidR="00E203BF" w:rsidRDefault="00E203BF" w:rsidP="00EB2C36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D45A5A" w:rsidRPr="00D45A5A" w:rsidRDefault="00D45A5A" w:rsidP="00EB2C36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:rsidR="00E962AE" w:rsidRPr="00D45A5A" w:rsidRDefault="00E962AE" w:rsidP="00EB2C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A T E N T A M E N T E</w:t>
      </w:r>
    </w:p>
    <w:p w:rsidR="00E962AE" w:rsidRPr="00D45A5A" w:rsidRDefault="00E962AE" w:rsidP="00EB2C3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ab/>
      </w:r>
      <w:r w:rsidRPr="00D45A5A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:rsidR="00E962AE" w:rsidRPr="00D45A5A" w:rsidRDefault="00E962AE" w:rsidP="00EB2C36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 xml:space="preserve">“2019, Año del Caudillo del Sur, Emiliano Zapata” </w:t>
      </w:r>
    </w:p>
    <w:p w:rsidR="00E962AE" w:rsidRPr="00D45A5A" w:rsidRDefault="00E962AE" w:rsidP="00EB2C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Le</w:t>
      </w:r>
      <w:r w:rsidR="002F16FC">
        <w:rPr>
          <w:rFonts w:ascii="Arial" w:hAnsi="Arial" w:cs="Arial"/>
          <w:b/>
          <w:sz w:val="28"/>
          <w:szCs w:val="28"/>
        </w:rPr>
        <w:t>ón, Guanajuato, a 24</w:t>
      </w:r>
      <w:r w:rsidRPr="00D45A5A">
        <w:rPr>
          <w:rFonts w:ascii="Arial" w:hAnsi="Arial" w:cs="Arial"/>
          <w:b/>
          <w:sz w:val="28"/>
          <w:szCs w:val="28"/>
        </w:rPr>
        <w:t xml:space="preserve"> de septiembre de 2019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:rsidR="00E962AE" w:rsidRPr="00D45A5A" w:rsidRDefault="00E962AE" w:rsidP="00EB2C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SEGURIDAD PÚBLICA Y TRÁNSITO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CHRISTIAN JAVIER CRUZ VILLEGAS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SÍNDICO</w:t>
      </w: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45A5A" w:rsidRPr="00D45A5A" w:rsidRDefault="00D45A5A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ANA MARÍA ESQUIVEL ARRONA</w:t>
      </w: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REGIDORA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MARÍA OLIMPIA ZAPATA PADILLA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REGIDORA</w:t>
      </w: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D45A5A" w:rsidRPr="00D45A5A" w:rsidRDefault="00D45A5A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JORGE ARTURO CABRERA GONZÁLEZ</w:t>
      </w: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REGIDOR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VANESSA MONTES DE OCA MAYAGOITIA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REGIDORA</w:t>
      </w: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D45A5A" w:rsidRPr="00D45A5A" w:rsidRDefault="00D45A5A" w:rsidP="00EB2C36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GABRIEL DURÁN ORTÍZ</w:t>
      </w:r>
    </w:p>
    <w:p w:rsidR="00E962AE" w:rsidRPr="00D45A5A" w:rsidRDefault="00E962AE" w:rsidP="00EB2C3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REGIDOR</w:t>
      </w: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962AE" w:rsidRPr="00D45A5A" w:rsidRDefault="00E962AE" w:rsidP="00EB2C3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45A5A">
        <w:rPr>
          <w:rFonts w:ascii="Arial" w:hAnsi="Arial" w:cs="Arial"/>
          <w:b/>
          <w:sz w:val="28"/>
          <w:szCs w:val="28"/>
        </w:rPr>
        <w:t>FERNANDA ODETTE RENTERÍA MUÑOZ</w:t>
      </w:r>
    </w:p>
    <w:p w:rsidR="000D280A" w:rsidRPr="00962EF2" w:rsidRDefault="00E962AE" w:rsidP="00D45A5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D45A5A">
        <w:rPr>
          <w:rFonts w:ascii="Arial" w:hAnsi="Arial" w:cs="Arial"/>
          <w:b/>
          <w:sz w:val="28"/>
          <w:szCs w:val="28"/>
        </w:rPr>
        <w:t>REGIDORA</w:t>
      </w:r>
    </w:p>
    <w:sectPr w:rsidR="000D280A" w:rsidRPr="00962EF2" w:rsidSect="00962EF2">
      <w:headerReference w:type="default" r:id="rId7"/>
      <w:footerReference w:type="default" r:id="rId8"/>
      <w:pgSz w:w="12240" w:h="15840"/>
      <w:pgMar w:top="2410" w:right="1608" w:bottom="993" w:left="1276" w:header="56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34F" w:rsidRDefault="00D1034F" w:rsidP="00A741F6">
      <w:pPr>
        <w:spacing w:after="0" w:line="240" w:lineRule="auto"/>
      </w:pPr>
      <w:r>
        <w:separator/>
      </w:r>
    </w:p>
  </w:endnote>
  <w:endnote w:type="continuationSeparator" w:id="0">
    <w:p w:rsidR="00D1034F" w:rsidRDefault="00D1034F" w:rsidP="00A7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6"/>
        <w:szCs w:val="16"/>
        <w:highlight w:val="yellow"/>
      </w:rPr>
      <w:id w:val="1862388512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  <w:highlight w:val="none"/>
      </w:rPr>
    </w:sdtEndPr>
    <w:sdtContent>
      <w:sdt>
        <w:sdtPr>
          <w:rPr>
            <w:rFonts w:asciiTheme="minorHAnsi" w:eastAsiaTheme="minorHAnsi" w:hAnsiTheme="minorHAnsi" w:cstheme="minorBidi"/>
            <w:sz w:val="16"/>
            <w:szCs w:val="16"/>
            <w:highlight w:val="yellow"/>
          </w:rPr>
          <w:id w:val="-30347707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  <w:highlight w:val="none"/>
          </w:rPr>
        </w:sdtEndPr>
        <w:sdtContent>
          <w:p w:rsidR="002105AF" w:rsidRPr="00BF44DC" w:rsidRDefault="00DE358A" w:rsidP="00B1743D">
            <w:pPr>
              <w:pStyle w:val="Piedepgina"/>
              <w:jc w:val="both"/>
              <w:rPr>
                <w:b/>
                <w:sz w:val="16"/>
                <w:szCs w:val="16"/>
              </w:rPr>
            </w:pPr>
            <w:r w:rsidRPr="00D747CA">
              <w:rPr>
                <w:rFonts w:cs="Arial"/>
                <w:sz w:val="16"/>
                <w:szCs w:val="16"/>
              </w:rPr>
              <w:t xml:space="preserve">La presente hoja forma parte del dictamen mediante el cual </w:t>
            </w:r>
            <w:r w:rsidR="00255888" w:rsidRPr="00D747CA">
              <w:rPr>
                <w:rFonts w:asciiTheme="minorHAnsi" w:eastAsiaTheme="minorHAnsi" w:hAnsiTheme="minorHAnsi" w:cs="Arial"/>
                <w:sz w:val="16"/>
                <w:szCs w:val="16"/>
              </w:rPr>
              <w:t xml:space="preserve">se </w:t>
            </w:r>
            <w:r w:rsidR="00A6285A" w:rsidRPr="00D747CA">
              <w:rPr>
                <w:b/>
                <w:sz w:val="16"/>
                <w:szCs w:val="16"/>
              </w:rPr>
              <w:t xml:space="preserve">aprueba el Programa </w:t>
            </w:r>
            <w:r w:rsidR="00BF44DC">
              <w:rPr>
                <w:b/>
                <w:sz w:val="16"/>
                <w:szCs w:val="16"/>
              </w:rPr>
              <w:t>p</w:t>
            </w:r>
            <w:r w:rsidR="00BF44DC" w:rsidRPr="00BF44DC">
              <w:rPr>
                <w:b/>
                <w:sz w:val="16"/>
                <w:szCs w:val="16"/>
              </w:rPr>
              <w:t>ara la Prevención Social de la Violencia y la Delincuencia del Municipio de León, Guanajuato.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34F" w:rsidRDefault="00D1034F" w:rsidP="00A741F6">
      <w:pPr>
        <w:spacing w:after="0" w:line="240" w:lineRule="auto"/>
      </w:pPr>
      <w:r>
        <w:separator/>
      </w:r>
    </w:p>
  </w:footnote>
  <w:footnote w:type="continuationSeparator" w:id="0">
    <w:p w:rsidR="00D1034F" w:rsidRDefault="00D1034F" w:rsidP="00A7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DE358A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4F550727" wp14:editId="0C003AEA">
          <wp:extent cx="1915355" cy="790083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5355" cy="7900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D1034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17D4"/>
    <w:multiLevelType w:val="hybridMultilevel"/>
    <w:tmpl w:val="B066B36C"/>
    <w:lvl w:ilvl="0" w:tplc="46A6BC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116D7"/>
    <w:multiLevelType w:val="hybridMultilevel"/>
    <w:tmpl w:val="E6E2FA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A446F"/>
    <w:multiLevelType w:val="hybridMultilevel"/>
    <w:tmpl w:val="3C141E0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62F98"/>
    <w:multiLevelType w:val="hybridMultilevel"/>
    <w:tmpl w:val="4E128982"/>
    <w:lvl w:ilvl="0" w:tplc="F99ED2C4">
      <w:start w:val="1"/>
      <w:numFmt w:val="upperRoman"/>
      <w:lvlText w:val="%1."/>
      <w:lvlJc w:val="left"/>
      <w:pPr>
        <w:ind w:left="720" w:hanging="360"/>
      </w:pPr>
      <w:rPr>
        <w:rFonts w:ascii="Verdana" w:hAnsi="Verdana" w:cs="Arial" w:hint="default"/>
        <w:b/>
        <w:i w:val="0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66739"/>
    <w:multiLevelType w:val="hybridMultilevel"/>
    <w:tmpl w:val="4DBA2B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D461C"/>
    <w:multiLevelType w:val="hybridMultilevel"/>
    <w:tmpl w:val="C0AC2886"/>
    <w:lvl w:ilvl="0" w:tplc="11E871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02CC2"/>
    <w:multiLevelType w:val="hybridMultilevel"/>
    <w:tmpl w:val="88F247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062B"/>
    <w:multiLevelType w:val="hybridMultilevel"/>
    <w:tmpl w:val="5DFCEF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E16D4"/>
    <w:multiLevelType w:val="hybridMultilevel"/>
    <w:tmpl w:val="15084B1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B20B3"/>
    <w:multiLevelType w:val="hybridMultilevel"/>
    <w:tmpl w:val="24D200F8"/>
    <w:lvl w:ilvl="0" w:tplc="AD1E0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E0248"/>
    <w:multiLevelType w:val="hybridMultilevel"/>
    <w:tmpl w:val="6C94C6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C6118"/>
    <w:multiLevelType w:val="hybridMultilevel"/>
    <w:tmpl w:val="CBBED2C8"/>
    <w:lvl w:ilvl="0" w:tplc="E7AE9F3E">
      <w:start w:val="1"/>
      <w:numFmt w:val="bullet"/>
      <w:lvlText w:val="•"/>
      <w:lvlJc w:val="left"/>
      <w:pPr>
        <w:ind w:left="1080" w:hanging="360"/>
      </w:pPr>
      <w:rPr>
        <w:rFonts w:hint="default"/>
        <w:b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C37334"/>
    <w:multiLevelType w:val="hybridMultilevel"/>
    <w:tmpl w:val="E86ADEB2"/>
    <w:lvl w:ilvl="0" w:tplc="039600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7235"/>
    <w:multiLevelType w:val="multilevel"/>
    <w:tmpl w:val="D12ABA4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58E40DE"/>
    <w:multiLevelType w:val="hybridMultilevel"/>
    <w:tmpl w:val="737022EA"/>
    <w:lvl w:ilvl="0" w:tplc="DBD63AC4">
      <w:start w:val="1"/>
      <w:numFmt w:val="upperRoman"/>
      <w:lvlText w:val="%1."/>
      <w:lvlJc w:val="right"/>
      <w:pPr>
        <w:ind w:left="1080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 w15:restartNumberingAfterBreak="0">
    <w:nsid w:val="760739C1"/>
    <w:multiLevelType w:val="hybridMultilevel"/>
    <w:tmpl w:val="BFDCF930"/>
    <w:lvl w:ilvl="0" w:tplc="366AD4F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7F3027D5"/>
    <w:multiLevelType w:val="hybridMultilevel"/>
    <w:tmpl w:val="7A882C02"/>
    <w:lvl w:ilvl="0" w:tplc="54CA24A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1"/>
  </w:num>
  <w:num w:numId="4">
    <w:abstractNumId w:val="20"/>
  </w:num>
  <w:num w:numId="5">
    <w:abstractNumId w:val="18"/>
  </w:num>
  <w:num w:numId="6">
    <w:abstractNumId w:val="6"/>
  </w:num>
  <w:num w:numId="7">
    <w:abstractNumId w:val="0"/>
  </w:num>
  <w:num w:numId="8">
    <w:abstractNumId w:val="7"/>
  </w:num>
  <w:num w:numId="9">
    <w:abstractNumId w:val="1"/>
  </w:num>
  <w:num w:numId="10">
    <w:abstractNumId w:val="16"/>
  </w:num>
  <w:num w:numId="11">
    <w:abstractNumId w:val="17"/>
  </w:num>
  <w:num w:numId="12">
    <w:abstractNumId w:val="19"/>
  </w:num>
  <w:num w:numId="13">
    <w:abstractNumId w:val="2"/>
  </w:num>
  <w:num w:numId="14">
    <w:abstractNumId w:val="14"/>
  </w:num>
  <w:num w:numId="15">
    <w:abstractNumId w:val="11"/>
  </w:num>
  <w:num w:numId="16">
    <w:abstractNumId w:val="8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D8"/>
    <w:rsid w:val="000139EF"/>
    <w:rsid w:val="000145D7"/>
    <w:rsid w:val="00022AE6"/>
    <w:rsid w:val="00032508"/>
    <w:rsid w:val="00036F43"/>
    <w:rsid w:val="00076844"/>
    <w:rsid w:val="00083B11"/>
    <w:rsid w:val="000D280A"/>
    <w:rsid w:val="000D7BC0"/>
    <w:rsid w:val="000E091A"/>
    <w:rsid w:val="000F0FEC"/>
    <w:rsid w:val="00126371"/>
    <w:rsid w:val="0013354C"/>
    <w:rsid w:val="00134B27"/>
    <w:rsid w:val="001B3E3D"/>
    <w:rsid w:val="001C0890"/>
    <w:rsid w:val="00201BEC"/>
    <w:rsid w:val="00252348"/>
    <w:rsid w:val="00255888"/>
    <w:rsid w:val="002C7A3C"/>
    <w:rsid w:val="002F16FC"/>
    <w:rsid w:val="002F2B17"/>
    <w:rsid w:val="00300A49"/>
    <w:rsid w:val="003132D9"/>
    <w:rsid w:val="00326A9B"/>
    <w:rsid w:val="003519B5"/>
    <w:rsid w:val="0038657C"/>
    <w:rsid w:val="003A182A"/>
    <w:rsid w:val="003C3E8D"/>
    <w:rsid w:val="003E138F"/>
    <w:rsid w:val="0040373A"/>
    <w:rsid w:val="0041764F"/>
    <w:rsid w:val="0042417A"/>
    <w:rsid w:val="0046313F"/>
    <w:rsid w:val="004779E4"/>
    <w:rsid w:val="004C1FA7"/>
    <w:rsid w:val="004D19F0"/>
    <w:rsid w:val="004D3729"/>
    <w:rsid w:val="00533A72"/>
    <w:rsid w:val="00540D9A"/>
    <w:rsid w:val="00542768"/>
    <w:rsid w:val="0055737A"/>
    <w:rsid w:val="005812CD"/>
    <w:rsid w:val="005A4F01"/>
    <w:rsid w:val="005A653A"/>
    <w:rsid w:val="005C3EE0"/>
    <w:rsid w:val="005E58B1"/>
    <w:rsid w:val="00605910"/>
    <w:rsid w:val="00611470"/>
    <w:rsid w:val="00631BF9"/>
    <w:rsid w:val="00661008"/>
    <w:rsid w:val="006B6865"/>
    <w:rsid w:val="006C7948"/>
    <w:rsid w:val="00720A92"/>
    <w:rsid w:val="00727D15"/>
    <w:rsid w:val="007330D2"/>
    <w:rsid w:val="007D1ED0"/>
    <w:rsid w:val="00801C4F"/>
    <w:rsid w:val="0080730B"/>
    <w:rsid w:val="00853944"/>
    <w:rsid w:val="008605BF"/>
    <w:rsid w:val="00881C4D"/>
    <w:rsid w:val="0088581F"/>
    <w:rsid w:val="0089026F"/>
    <w:rsid w:val="008A4AC9"/>
    <w:rsid w:val="008D2C56"/>
    <w:rsid w:val="008E20DF"/>
    <w:rsid w:val="008E2215"/>
    <w:rsid w:val="008E5CBE"/>
    <w:rsid w:val="00926E95"/>
    <w:rsid w:val="0093422A"/>
    <w:rsid w:val="00962EF2"/>
    <w:rsid w:val="00966F80"/>
    <w:rsid w:val="00974FAB"/>
    <w:rsid w:val="009B0C81"/>
    <w:rsid w:val="009D3418"/>
    <w:rsid w:val="009F1A7E"/>
    <w:rsid w:val="00A55006"/>
    <w:rsid w:val="00A6285A"/>
    <w:rsid w:val="00A7189F"/>
    <w:rsid w:val="00A741F6"/>
    <w:rsid w:val="00A83300"/>
    <w:rsid w:val="00A94373"/>
    <w:rsid w:val="00B1743D"/>
    <w:rsid w:val="00B3747C"/>
    <w:rsid w:val="00B66E37"/>
    <w:rsid w:val="00B90B7C"/>
    <w:rsid w:val="00B95605"/>
    <w:rsid w:val="00BC1AFC"/>
    <w:rsid w:val="00BC26A7"/>
    <w:rsid w:val="00BF44DC"/>
    <w:rsid w:val="00CC7C7E"/>
    <w:rsid w:val="00D1034F"/>
    <w:rsid w:val="00D42D32"/>
    <w:rsid w:val="00D4341A"/>
    <w:rsid w:val="00D45A5A"/>
    <w:rsid w:val="00D50470"/>
    <w:rsid w:val="00D60EA8"/>
    <w:rsid w:val="00D747CA"/>
    <w:rsid w:val="00DB60F6"/>
    <w:rsid w:val="00DD3964"/>
    <w:rsid w:val="00DD411B"/>
    <w:rsid w:val="00DE358A"/>
    <w:rsid w:val="00DE7114"/>
    <w:rsid w:val="00DF6DD8"/>
    <w:rsid w:val="00E203BF"/>
    <w:rsid w:val="00E25BF5"/>
    <w:rsid w:val="00E300FF"/>
    <w:rsid w:val="00E36A0F"/>
    <w:rsid w:val="00E745CF"/>
    <w:rsid w:val="00E75994"/>
    <w:rsid w:val="00E7788F"/>
    <w:rsid w:val="00E962AE"/>
    <w:rsid w:val="00EB2C36"/>
    <w:rsid w:val="00EB57C7"/>
    <w:rsid w:val="00EC2377"/>
    <w:rsid w:val="00EE7724"/>
    <w:rsid w:val="00F267AF"/>
    <w:rsid w:val="00F53327"/>
    <w:rsid w:val="00FA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6F430B-B75D-4D5F-885E-A182C649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DD8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F6D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6D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6DD8"/>
  </w:style>
  <w:style w:type="paragraph" w:styleId="Piedepgina">
    <w:name w:val="footer"/>
    <w:basedOn w:val="Normal"/>
    <w:link w:val="PiedepginaCar"/>
    <w:uiPriority w:val="99"/>
    <w:unhideWhenUsed/>
    <w:rsid w:val="00DF6DD8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F6DD8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DF6DD8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DF6DD8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F6D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rsid w:val="00DF6DD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6DD8"/>
    <w:rPr>
      <w:rFonts w:ascii="Arial" w:eastAsia="Times New Roman" w:hAnsi="Arial" w:cs="Times New Roman"/>
      <w:sz w:val="20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DF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A741F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741F6"/>
    <w:rPr>
      <w:sz w:val="16"/>
      <w:szCs w:val="16"/>
    </w:rPr>
  </w:style>
  <w:style w:type="paragraph" w:customStyle="1" w:styleId="Sinespaciado1">
    <w:name w:val="Sin espaciado1"/>
    <w:rsid w:val="008E20D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5">
    <w:name w:val="Style-5"/>
    <w:rsid w:val="00727D1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paragraph" w:customStyle="1" w:styleId="Style-4">
    <w:name w:val="Style-4"/>
    <w:rsid w:val="00727D15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348"/>
    <w:rPr>
      <w:rFonts w:ascii="Segoe UI" w:hAnsi="Segoe UI" w:cs="Segoe UI"/>
      <w:sz w:val="18"/>
      <w:szCs w:val="18"/>
    </w:rPr>
  </w:style>
  <w:style w:type="paragraph" w:customStyle="1" w:styleId="Texto">
    <w:name w:val="Texto"/>
    <w:basedOn w:val="Normal"/>
    <w:link w:val="TextoCar"/>
    <w:rsid w:val="00201BE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201BEC"/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PrrafodelistaCar">
    <w:name w:val="Párrafo de lista Car"/>
    <w:link w:val="Prrafodelista"/>
    <w:uiPriority w:val="34"/>
    <w:rsid w:val="00E36A0F"/>
  </w:style>
  <w:style w:type="character" w:customStyle="1" w:styleId="SinespaciadoCar">
    <w:name w:val="Sin espaciado Car"/>
    <w:link w:val="Sinespaciado"/>
    <w:uiPriority w:val="1"/>
    <w:rsid w:val="008E5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2019-09-17T13:00:00Z</cp:lastPrinted>
  <dcterms:created xsi:type="dcterms:W3CDTF">2019-09-23T15:58:00Z</dcterms:created>
  <dcterms:modified xsi:type="dcterms:W3CDTF">2019-09-23T15:58:00Z</dcterms:modified>
</cp:coreProperties>
</file>