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A8E53" w14:textId="77777777" w:rsidR="000373E0" w:rsidRPr="00810BF2" w:rsidRDefault="000373E0" w:rsidP="00743FAD">
      <w:pPr>
        <w:pStyle w:val="Ttulo2"/>
        <w:spacing w:before="0" w:line="240" w:lineRule="auto"/>
        <w:jc w:val="both"/>
        <w:rPr>
          <w:rFonts w:ascii="Arial" w:hAnsi="Arial" w:cs="Arial"/>
          <w:b/>
          <w:color w:val="auto"/>
          <w:sz w:val="24"/>
          <w:szCs w:val="24"/>
        </w:rPr>
      </w:pPr>
      <w:r w:rsidRPr="00810BF2">
        <w:rPr>
          <w:rFonts w:ascii="Arial" w:hAnsi="Arial" w:cs="Arial"/>
          <w:b/>
          <w:color w:val="auto"/>
          <w:sz w:val="24"/>
          <w:szCs w:val="24"/>
        </w:rPr>
        <w:t>H. AYUNTAMIENTO DE LEÓN, GUANAJUATO</w:t>
      </w:r>
    </w:p>
    <w:p w14:paraId="0BF2D97A" w14:textId="77777777" w:rsidR="000373E0" w:rsidRPr="00810BF2" w:rsidRDefault="000373E0" w:rsidP="00743FAD">
      <w:pPr>
        <w:pStyle w:val="Ttulo2"/>
        <w:spacing w:before="0" w:line="240" w:lineRule="auto"/>
        <w:jc w:val="both"/>
        <w:rPr>
          <w:rFonts w:ascii="Arial" w:hAnsi="Arial" w:cs="Arial"/>
          <w:b/>
          <w:color w:val="auto"/>
          <w:sz w:val="24"/>
          <w:szCs w:val="24"/>
        </w:rPr>
      </w:pPr>
      <w:r w:rsidRPr="00810BF2">
        <w:rPr>
          <w:rFonts w:ascii="Arial" w:hAnsi="Arial" w:cs="Arial"/>
          <w:b/>
          <w:color w:val="auto"/>
          <w:sz w:val="24"/>
          <w:szCs w:val="24"/>
        </w:rPr>
        <w:t>P R E S E N T E</w:t>
      </w:r>
    </w:p>
    <w:p w14:paraId="7E8DD031" w14:textId="77777777" w:rsidR="000373E0" w:rsidRDefault="000373E0" w:rsidP="00743FAD">
      <w:pPr>
        <w:spacing w:after="0" w:line="240" w:lineRule="auto"/>
        <w:jc w:val="both"/>
        <w:rPr>
          <w:rFonts w:ascii="Arial" w:hAnsi="Arial" w:cs="Arial"/>
          <w:sz w:val="24"/>
          <w:szCs w:val="24"/>
        </w:rPr>
      </w:pPr>
    </w:p>
    <w:p w14:paraId="2178F4D1" w14:textId="77777777" w:rsidR="00743FAD" w:rsidRPr="00810BF2" w:rsidRDefault="00743FAD" w:rsidP="00743FAD">
      <w:pPr>
        <w:spacing w:after="0" w:line="240" w:lineRule="auto"/>
        <w:jc w:val="both"/>
        <w:rPr>
          <w:rFonts w:ascii="Arial" w:hAnsi="Arial" w:cs="Arial"/>
          <w:sz w:val="24"/>
          <w:szCs w:val="24"/>
        </w:rPr>
      </w:pPr>
    </w:p>
    <w:p w14:paraId="3854CA12" w14:textId="77777777" w:rsidR="000373E0" w:rsidRDefault="000373E0" w:rsidP="00743FAD">
      <w:pPr>
        <w:pStyle w:val="Ttulo2"/>
        <w:spacing w:before="0" w:line="240" w:lineRule="auto"/>
        <w:jc w:val="both"/>
        <w:rPr>
          <w:rFonts w:ascii="Arial" w:hAnsi="Arial" w:cs="Arial"/>
          <w:color w:val="auto"/>
          <w:sz w:val="24"/>
          <w:szCs w:val="24"/>
        </w:rPr>
      </w:pPr>
      <w:r w:rsidRPr="00810BF2">
        <w:rPr>
          <w:rFonts w:ascii="Arial" w:hAnsi="Arial" w:cs="Arial"/>
          <w:color w:val="auto"/>
          <w:sz w:val="24"/>
          <w:szCs w:val="24"/>
        </w:rPr>
        <w:t xml:space="preserve">Quienes integramos la </w:t>
      </w:r>
      <w:r w:rsidRPr="00810BF2">
        <w:rPr>
          <w:rFonts w:ascii="Arial" w:hAnsi="Arial" w:cs="Arial"/>
          <w:b/>
          <w:color w:val="auto"/>
          <w:sz w:val="24"/>
          <w:szCs w:val="24"/>
        </w:rPr>
        <w:t>Comisión de Gobi</w:t>
      </w:r>
      <w:r w:rsidRPr="00810BF2">
        <w:rPr>
          <w:rFonts w:ascii="Arial" w:hAnsi="Arial" w:cs="Arial"/>
          <w:b/>
          <w:i/>
          <w:color w:val="auto"/>
          <w:sz w:val="24"/>
          <w:szCs w:val="24"/>
        </w:rPr>
        <w:t>e</w:t>
      </w:r>
      <w:r w:rsidRPr="00810BF2">
        <w:rPr>
          <w:rFonts w:ascii="Arial" w:hAnsi="Arial" w:cs="Arial"/>
          <w:b/>
          <w:color w:val="auto"/>
          <w:sz w:val="24"/>
          <w:szCs w:val="24"/>
        </w:rPr>
        <w:t xml:space="preserve">rno, Seguridad Pública y Tránsito, </w:t>
      </w:r>
      <w:r w:rsidRPr="00810BF2">
        <w:rPr>
          <w:rFonts w:ascii="Arial" w:hAnsi="Arial" w:cs="Arial"/>
          <w:color w:val="auto"/>
          <w:sz w:val="24"/>
          <w:szCs w:val="24"/>
        </w:rPr>
        <w:t xml:space="preserve">con fundamento en lo dispuesto por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14:paraId="27D8EDB5" w14:textId="77777777" w:rsidR="00743FAD" w:rsidRDefault="00743FAD" w:rsidP="00743FAD">
      <w:pPr>
        <w:pStyle w:val="Textoindependiente3"/>
        <w:spacing w:after="0" w:line="240" w:lineRule="auto"/>
        <w:jc w:val="center"/>
        <w:rPr>
          <w:rFonts w:ascii="Arial" w:hAnsi="Arial" w:cs="Arial"/>
          <w:b/>
          <w:sz w:val="24"/>
          <w:szCs w:val="24"/>
        </w:rPr>
      </w:pPr>
    </w:p>
    <w:p w14:paraId="4823F213" w14:textId="77777777" w:rsidR="000373E0" w:rsidRPr="00810BF2" w:rsidRDefault="000373E0" w:rsidP="00743FAD">
      <w:pPr>
        <w:pStyle w:val="Textoindependiente3"/>
        <w:spacing w:after="0" w:line="240" w:lineRule="auto"/>
        <w:jc w:val="center"/>
        <w:rPr>
          <w:rFonts w:ascii="Arial" w:hAnsi="Arial" w:cs="Arial"/>
          <w:b/>
          <w:sz w:val="24"/>
          <w:szCs w:val="24"/>
        </w:rPr>
      </w:pPr>
      <w:r w:rsidRPr="00810BF2">
        <w:rPr>
          <w:rFonts w:ascii="Arial" w:hAnsi="Arial" w:cs="Arial"/>
          <w:b/>
          <w:sz w:val="24"/>
          <w:szCs w:val="24"/>
        </w:rPr>
        <w:t>CONSIDERACIONES</w:t>
      </w:r>
    </w:p>
    <w:p w14:paraId="260A9B05" w14:textId="77777777" w:rsidR="000373E0" w:rsidRDefault="000373E0" w:rsidP="00743FAD">
      <w:pPr>
        <w:pStyle w:val="Textoindependiente3"/>
        <w:spacing w:after="0" w:line="240" w:lineRule="auto"/>
        <w:jc w:val="center"/>
        <w:rPr>
          <w:rFonts w:ascii="Arial" w:hAnsi="Arial" w:cs="Arial"/>
          <w:b/>
          <w:sz w:val="24"/>
          <w:szCs w:val="24"/>
        </w:rPr>
      </w:pPr>
    </w:p>
    <w:p w14:paraId="7FE9D9AB" w14:textId="77777777" w:rsidR="000373E0" w:rsidRPr="00810BF2" w:rsidRDefault="000373E0" w:rsidP="00743FAD">
      <w:pPr>
        <w:pStyle w:val="Textoindependiente3"/>
        <w:spacing w:after="0" w:line="240" w:lineRule="auto"/>
        <w:jc w:val="center"/>
        <w:rPr>
          <w:rFonts w:ascii="Arial" w:hAnsi="Arial" w:cs="Arial"/>
          <w:b/>
          <w:sz w:val="24"/>
          <w:szCs w:val="24"/>
        </w:rPr>
      </w:pPr>
    </w:p>
    <w:p w14:paraId="49506091" w14:textId="77777777" w:rsidR="000373E0" w:rsidRPr="00C472A9" w:rsidRDefault="000373E0" w:rsidP="00743FAD">
      <w:pPr>
        <w:pStyle w:val="Ttulo2"/>
        <w:numPr>
          <w:ilvl w:val="0"/>
          <w:numId w:val="1"/>
        </w:numPr>
        <w:tabs>
          <w:tab w:val="left" w:pos="709"/>
        </w:tabs>
        <w:spacing w:before="0" w:line="240" w:lineRule="auto"/>
        <w:ind w:left="0" w:firstLine="0"/>
        <w:jc w:val="both"/>
        <w:rPr>
          <w:rFonts w:ascii="Arial" w:hAnsi="Arial" w:cs="Arial"/>
          <w:color w:val="auto"/>
          <w:sz w:val="24"/>
          <w:szCs w:val="24"/>
          <w:lang w:val="es-ES"/>
        </w:rPr>
      </w:pPr>
      <w:r w:rsidRPr="00810BF2">
        <w:rPr>
          <w:rFonts w:ascii="Arial" w:hAnsi="Arial" w:cs="Arial"/>
          <w:color w:val="auto"/>
          <w:sz w:val="24"/>
          <w:szCs w:val="24"/>
        </w:rPr>
        <w:t xml:space="preserve">Por </w:t>
      </w:r>
      <w:r w:rsidRPr="00851633">
        <w:rPr>
          <w:rFonts w:ascii="Arial" w:hAnsi="Arial" w:cs="Arial"/>
          <w:color w:val="auto"/>
          <w:sz w:val="24"/>
          <w:szCs w:val="24"/>
          <w:lang w:val="es-ES"/>
        </w:rPr>
        <w:t xml:space="preserve">acuerdo de la Comisión de </w:t>
      </w:r>
      <w:r>
        <w:rPr>
          <w:rFonts w:ascii="Arial" w:hAnsi="Arial" w:cs="Arial"/>
          <w:color w:val="auto"/>
          <w:sz w:val="24"/>
          <w:szCs w:val="24"/>
          <w:lang w:val="es-ES"/>
        </w:rPr>
        <w:t xml:space="preserve">Justicia </w:t>
      </w:r>
      <w:r w:rsidRPr="00851633">
        <w:rPr>
          <w:rFonts w:ascii="Arial" w:hAnsi="Arial" w:cs="Arial"/>
          <w:color w:val="auto"/>
          <w:sz w:val="24"/>
          <w:szCs w:val="24"/>
          <w:lang w:val="es-ES"/>
        </w:rPr>
        <w:t xml:space="preserve">de la Sexagésima Cuarta Legislatura del H. Congreso del Estado, remitió a este Ayuntamiento la </w:t>
      </w:r>
      <w:r w:rsidR="00743FAD">
        <w:rPr>
          <w:rFonts w:ascii="Arial" w:hAnsi="Arial" w:cs="Arial"/>
          <w:b/>
          <w:color w:val="222222"/>
          <w:sz w:val="24"/>
          <w:szCs w:val="24"/>
          <w:shd w:val="clear" w:color="auto" w:fill="FFFFFF"/>
        </w:rPr>
        <w:t>i</w:t>
      </w:r>
      <w:r w:rsidR="00743FAD" w:rsidRPr="00FC5E65">
        <w:rPr>
          <w:rFonts w:ascii="Arial" w:hAnsi="Arial" w:cs="Arial"/>
          <w:b/>
          <w:color w:val="222222"/>
          <w:sz w:val="24"/>
          <w:szCs w:val="24"/>
          <w:shd w:val="clear" w:color="auto" w:fill="FFFFFF"/>
        </w:rPr>
        <w:t>niciativa por la que</w:t>
      </w:r>
      <w:r w:rsidR="00743FAD" w:rsidRPr="008747EE">
        <w:rPr>
          <w:rFonts w:ascii="Arial" w:hAnsi="Arial" w:cs="Arial"/>
          <w:color w:val="222222"/>
          <w:sz w:val="24"/>
          <w:szCs w:val="24"/>
          <w:shd w:val="clear" w:color="auto" w:fill="FFFFFF"/>
        </w:rPr>
        <w:t> </w:t>
      </w:r>
      <w:r w:rsidR="00743FAD" w:rsidRPr="008747EE">
        <w:rPr>
          <w:rFonts w:ascii="Arial" w:hAnsi="Arial" w:cs="Arial"/>
          <w:b/>
          <w:bCs/>
          <w:color w:val="222222"/>
          <w:sz w:val="24"/>
          <w:szCs w:val="24"/>
          <w:shd w:val="clear" w:color="auto" w:fill="FFFFFF"/>
        </w:rPr>
        <w:t>se adiciona un artículo 266 Bis al Código de Procedimiento y Justicia Administrativa para el Estado y los Municipios de Guanajuato</w:t>
      </w:r>
      <w:r w:rsidR="00743FAD" w:rsidRPr="008747EE">
        <w:rPr>
          <w:rFonts w:ascii="Arial" w:hAnsi="Arial" w:cs="Arial"/>
          <w:color w:val="222222"/>
          <w:sz w:val="24"/>
          <w:szCs w:val="24"/>
          <w:shd w:val="clear" w:color="auto" w:fill="FFFFFF"/>
        </w:rPr>
        <w:t>, presentada por las y los integrantes del Grupo Parlamentario del Partido Revolucionario Institucional</w:t>
      </w:r>
      <w:r w:rsidRPr="00810BF2">
        <w:rPr>
          <w:rFonts w:ascii="Arial" w:hAnsi="Arial" w:cs="Arial"/>
          <w:color w:val="auto"/>
          <w:sz w:val="24"/>
          <w:szCs w:val="24"/>
          <w:lang w:val="es-ES"/>
        </w:rPr>
        <w:t>,</w:t>
      </w:r>
      <w:r w:rsidRPr="00851633">
        <w:rPr>
          <w:rFonts w:ascii="Arial" w:hAnsi="Arial" w:cs="Arial"/>
          <w:color w:val="auto"/>
          <w:sz w:val="24"/>
          <w:szCs w:val="24"/>
          <w:lang w:val="es-ES"/>
        </w:rPr>
        <w:t xml:space="preserve"> a</w:t>
      </w:r>
      <w:r w:rsidRPr="00810BF2">
        <w:rPr>
          <w:rFonts w:ascii="Arial" w:hAnsi="Arial" w:cs="Arial"/>
          <w:color w:val="auto"/>
          <w:sz w:val="24"/>
          <w:szCs w:val="24"/>
          <w:lang w:val="es-ES"/>
        </w:rPr>
        <w:t xml:space="preserve"> efecto de que como parte de la metodología aprobada se reciban observaciones y propuestas a la misma. </w:t>
      </w:r>
    </w:p>
    <w:p w14:paraId="2B9586CD" w14:textId="77777777" w:rsidR="000373E0" w:rsidRPr="00810BF2" w:rsidRDefault="000373E0" w:rsidP="00743FAD">
      <w:pPr>
        <w:spacing w:after="0" w:line="240" w:lineRule="auto"/>
        <w:rPr>
          <w:rFonts w:ascii="Arial" w:eastAsiaTheme="majorEastAsia" w:hAnsi="Arial" w:cs="Arial"/>
          <w:sz w:val="24"/>
          <w:szCs w:val="24"/>
          <w:lang w:val="es-ES"/>
        </w:rPr>
      </w:pPr>
    </w:p>
    <w:p w14:paraId="22611E12" w14:textId="77777777" w:rsidR="000373E0" w:rsidRPr="00810BF2" w:rsidRDefault="000373E0" w:rsidP="00743FAD">
      <w:pPr>
        <w:pStyle w:val="Prrafodelista"/>
        <w:numPr>
          <w:ilvl w:val="0"/>
          <w:numId w:val="1"/>
        </w:numPr>
        <w:spacing w:line="240" w:lineRule="auto"/>
        <w:ind w:left="0" w:firstLine="0"/>
        <w:jc w:val="both"/>
        <w:rPr>
          <w:rFonts w:ascii="Arial" w:eastAsiaTheme="majorEastAsia" w:hAnsi="Arial" w:cs="Arial"/>
          <w:sz w:val="24"/>
          <w:szCs w:val="24"/>
          <w:lang w:val="es"/>
        </w:rPr>
      </w:pPr>
      <w:r w:rsidRPr="00851633">
        <w:rPr>
          <w:rFonts w:ascii="Arial" w:eastAsiaTheme="majorEastAsia" w:hAnsi="Arial" w:cs="Arial"/>
          <w:sz w:val="24"/>
          <w:szCs w:val="24"/>
          <w:lang w:val="es-ES"/>
        </w:rPr>
        <w:t xml:space="preserve">Dicha iniciativa, de acuerdo con su exposición de motivos, tiene el objetivo </w:t>
      </w:r>
      <w:r>
        <w:rPr>
          <w:rFonts w:ascii="Arial" w:hAnsi="Arial" w:cs="Arial"/>
          <w:sz w:val="24"/>
          <w:szCs w:val="24"/>
          <w:shd w:val="clear" w:color="auto" w:fill="FFFFFF"/>
        </w:rPr>
        <w:t xml:space="preserve">de </w:t>
      </w:r>
      <w:r w:rsidR="00743FAD" w:rsidRPr="0017614D">
        <w:rPr>
          <w:rFonts w:ascii="Arial" w:hAnsi="Arial" w:cs="Arial"/>
          <w:color w:val="222222"/>
          <w:sz w:val="24"/>
          <w:szCs w:val="24"/>
          <w:shd w:val="clear" w:color="auto" w:fill="FFFFFF"/>
        </w:rPr>
        <w:t>incorporar el procedimiento contencioso la figura de la Litis abierta</w:t>
      </w:r>
      <w:r w:rsidRPr="008D2E22">
        <w:rPr>
          <w:rFonts w:ascii="Arial" w:hAnsi="Arial" w:cs="Arial"/>
          <w:sz w:val="24"/>
          <w:szCs w:val="24"/>
        </w:rPr>
        <w:t>.</w:t>
      </w:r>
    </w:p>
    <w:p w14:paraId="02CB69D7" w14:textId="77777777" w:rsidR="000373E0" w:rsidRPr="00810BF2" w:rsidRDefault="000373E0" w:rsidP="00743FAD">
      <w:pPr>
        <w:pStyle w:val="Prrafodelista"/>
        <w:spacing w:line="240" w:lineRule="auto"/>
        <w:rPr>
          <w:rFonts w:ascii="Arial" w:eastAsiaTheme="majorEastAsia" w:hAnsi="Arial" w:cs="Arial"/>
          <w:sz w:val="24"/>
          <w:szCs w:val="24"/>
          <w:lang w:val="es"/>
        </w:rPr>
      </w:pPr>
    </w:p>
    <w:p w14:paraId="50A813A7" w14:textId="77777777" w:rsidR="000373E0" w:rsidRDefault="000373E0" w:rsidP="00743FAD">
      <w:pPr>
        <w:pStyle w:val="Prrafodelista"/>
        <w:numPr>
          <w:ilvl w:val="0"/>
          <w:numId w:val="1"/>
        </w:numPr>
        <w:spacing w:after="0" w:line="240" w:lineRule="auto"/>
        <w:ind w:left="0" w:firstLine="0"/>
        <w:jc w:val="both"/>
        <w:rPr>
          <w:rFonts w:ascii="Arial" w:hAnsi="Arial" w:cs="Arial"/>
          <w:sz w:val="24"/>
          <w:szCs w:val="24"/>
        </w:rPr>
      </w:pPr>
      <w:r w:rsidRPr="00810BF2">
        <w:rPr>
          <w:rFonts w:ascii="Arial" w:hAnsi="Arial" w:cs="Arial"/>
          <w:sz w:val="24"/>
          <w:szCs w:val="24"/>
        </w:rPr>
        <w:t>Dentro de las consideraciones relevantes que plantea la iniciativa en su exposición de motivos, se encuentran las siguientes:</w:t>
      </w:r>
    </w:p>
    <w:p w14:paraId="5B06D080" w14:textId="77777777" w:rsidR="000373E0" w:rsidRDefault="000373E0" w:rsidP="00743FAD">
      <w:pPr>
        <w:spacing w:after="0" w:line="240" w:lineRule="auto"/>
        <w:ind w:left="284" w:firstLine="567"/>
        <w:jc w:val="both"/>
        <w:rPr>
          <w:rFonts w:ascii="Arial" w:hAnsi="Arial" w:cs="Arial"/>
          <w:sz w:val="24"/>
          <w:szCs w:val="24"/>
        </w:rPr>
      </w:pPr>
    </w:p>
    <w:p w14:paraId="2F799F62" w14:textId="77777777" w:rsidR="00743FAD" w:rsidRDefault="00743FAD" w:rsidP="00743FAD">
      <w:pPr>
        <w:pStyle w:val="Prrafodelista"/>
        <w:numPr>
          <w:ilvl w:val="2"/>
          <w:numId w:val="4"/>
        </w:numPr>
        <w:spacing w:after="0" w:line="240" w:lineRule="auto"/>
        <w:ind w:left="709" w:firstLine="0"/>
        <w:jc w:val="both"/>
        <w:rPr>
          <w:rFonts w:ascii="Arial" w:hAnsi="Arial" w:cs="Arial"/>
          <w:sz w:val="24"/>
          <w:szCs w:val="24"/>
        </w:rPr>
      </w:pPr>
      <w:r>
        <w:rPr>
          <w:rFonts w:ascii="Arial" w:hAnsi="Arial" w:cs="Arial"/>
          <w:sz w:val="24"/>
          <w:szCs w:val="24"/>
        </w:rPr>
        <w:t>El sistema normativo debe contener el principio del debido proceso, atento al cual, las personas tienen derechos a disponer de un aparto jurídico instrumental, tendiente a salvaguardar un resultado justo y equitativa en las controversias judiciales.</w:t>
      </w:r>
    </w:p>
    <w:p w14:paraId="67E4471E" w14:textId="77777777" w:rsidR="00743FAD" w:rsidRDefault="00743FAD" w:rsidP="00743FAD">
      <w:pPr>
        <w:pStyle w:val="Prrafodelista"/>
        <w:spacing w:after="0" w:line="240" w:lineRule="auto"/>
        <w:ind w:left="709"/>
        <w:jc w:val="both"/>
        <w:rPr>
          <w:rFonts w:ascii="Arial" w:hAnsi="Arial" w:cs="Arial"/>
          <w:sz w:val="24"/>
          <w:szCs w:val="24"/>
        </w:rPr>
      </w:pPr>
    </w:p>
    <w:p w14:paraId="3B8945E8" w14:textId="77777777" w:rsidR="00743FAD" w:rsidRDefault="00743FAD" w:rsidP="00743FAD">
      <w:pPr>
        <w:pStyle w:val="Prrafodelista"/>
        <w:numPr>
          <w:ilvl w:val="2"/>
          <w:numId w:val="4"/>
        </w:numPr>
        <w:autoSpaceDE w:val="0"/>
        <w:autoSpaceDN w:val="0"/>
        <w:adjustRightInd w:val="0"/>
        <w:spacing w:after="0" w:line="240" w:lineRule="auto"/>
        <w:ind w:left="709" w:firstLine="0"/>
        <w:jc w:val="both"/>
        <w:rPr>
          <w:rFonts w:ascii="Arial" w:hAnsi="Arial" w:cs="Arial"/>
          <w:sz w:val="24"/>
          <w:szCs w:val="24"/>
        </w:rPr>
      </w:pPr>
      <w:r>
        <w:rPr>
          <w:rFonts w:ascii="Arial" w:hAnsi="Arial" w:cs="Arial"/>
          <w:sz w:val="24"/>
          <w:szCs w:val="24"/>
        </w:rPr>
        <w:t>La mínima garantía del gobernado es ser oído para defenderse y para ello debe tener la certeza de poder reclamar, alegar y probar sus legítimas pretensiones frente al juzgador. Según este principio, el gobierno está subordinado a las leyes que protegen a las personas del estado, de donde se sigue que cuando éste lesiona a una persona sin seguir el curso trazado por la norma, incurre en una violación al debido proceso.</w:t>
      </w:r>
    </w:p>
    <w:p w14:paraId="1C4BA05D" w14:textId="77777777" w:rsidR="00743FAD" w:rsidRPr="007A45BC" w:rsidRDefault="00743FAD" w:rsidP="00743FAD">
      <w:pPr>
        <w:pStyle w:val="Prrafodelista"/>
        <w:spacing w:line="240" w:lineRule="auto"/>
        <w:ind w:left="709"/>
        <w:rPr>
          <w:rFonts w:ascii="Arial" w:hAnsi="Arial" w:cs="Arial"/>
          <w:sz w:val="24"/>
          <w:szCs w:val="24"/>
        </w:rPr>
      </w:pPr>
    </w:p>
    <w:p w14:paraId="1C53C36A" w14:textId="77777777" w:rsidR="00743FAD" w:rsidRDefault="00743FAD" w:rsidP="00743FAD">
      <w:pPr>
        <w:pStyle w:val="Prrafodelista"/>
        <w:numPr>
          <w:ilvl w:val="2"/>
          <w:numId w:val="4"/>
        </w:numPr>
        <w:autoSpaceDE w:val="0"/>
        <w:autoSpaceDN w:val="0"/>
        <w:adjustRightInd w:val="0"/>
        <w:spacing w:after="0" w:line="240" w:lineRule="auto"/>
        <w:ind w:left="709" w:firstLine="0"/>
        <w:jc w:val="both"/>
        <w:rPr>
          <w:rFonts w:ascii="Arial" w:hAnsi="Arial" w:cs="Arial"/>
          <w:sz w:val="24"/>
          <w:szCs w:val="24"/>
        </w:rPr>
      </w:pPr>
      <w:r>
        <w:rPr>
          <w:rFonts w:ascii="Arial" w:hAnsi="Arial" w:cs="Arial"/>
          <w:sz w:val="24"/>
          <w:szCs w:val="24"/>
        </w:rPr>
        <w:t xml:space="preserve">Las garantías judiciales tuteladas por diversas convenciones internacionales y por nuestra propia Constitución federal se ven infringidas, lesionadas, matizadas y limitadas, cuando se establecen en las normas la prohibición a la persona para tener un juicio justo, o bien en el supuesto de que, por una disposición imperfecta, limiten, no el ejercicio, pero sí el goce </w:t>
      </w:r>
      <w:r>
        <w:rPr>
          <w:rFonts w:ascii="Arial" w:hAnsi="Arial" w:cs="Arial"/>
          <w:sz w:val="24"/>
          <w:szCs w:val="24"/>
        </w:rPr>
        <w:lastRenderedPageBreak/>
        <w:t>del derecho a ser escuchado, a ofrecer y rendir pruebas o a formular alegatos, tal es el caso del Código de Procedimiento y Justicia Administrativa para el Estado y los Municipios de Guanajuato, al no contemplar el principio de la Litis abierta.</w:t>
      </w:r>
    </w:p>
    <w:p w14:paraId="547C72C1" w14:textId="77777777" w:rsidR="00743FAD" w:rsidRPr="007A45BC" w:rsidRDefault="00743FAD" w:rsidP="00743FAD">
      <w:pPr>
        <w:pStyle w:val="Prrafodelista"/>
        <w:spacing w:line="240" w:lineRule="auto"/>
        <w:ind w:left="709"/>
        <w:rPr>
          <w:rFonts w:ascii="Arial" w:hAnsi="Arial" w:cs="Arial"/>
          <w:sz w:val="24"/>
          <w:szCs w:val="24"/>
        </w:rPr>
      </w:pPr>
    </w:p>
    <w:p w14:paraId="454B2743" w14:textId="77777777" w:rsidR="00743FAD" w:rsidRDefault="00743FAD" w:rsidP="00743FAD">
      <w:pPr>
        <w:pStyle w:val="Prrafodelista"/>
        <w:numPr>
          <w:ilvl w:val="2"/>
          <w:numId w:val="4"/>
        </w:numPr>
        <w:autoSpaceDE w:val="0"/>
        <w:autoSpaceDN w:val="0"/>
        <w:adjustRightInd w:val="0"/>
        <w:spacing w:after="0" w:line="240" w:lineRule="auto"/>
        <w:ind w:left="709" w:firstLine="0"/>
        <w:jc w:val="both"/>
        <w:rPr>
          <w:rFonts w:ascii="Arial" w:hAnsi="Arial" w:cs="Arial"/>
          <w:sz w:val="24"/>
          <w:szCs w:val="24"/>
        </w:rPr>
      </w:pPr>
      <w:r>
        <w:rPr>
          <w:rFonts w:ascii="Arial" w:hAnsi="Arial" w:cs="Arial"/>
          <w:sz w:val="24"/>
          <w:szCs w:val="24"/>
        </w:rPr>
        <w:t>La Litis abierta consiste en la posibilidad de que el actor en el juicio contencioso administrativo pueda hacer valer, de manera simultánea, motivos de inconformidad o agravios planteados en el recurso y conceptos de impugnación contra el acto reclamado en la demanda de nulidad. Es decir que en determinadas situaciones el demandante pueda hacer valer argumentos y exhibir pruebas que no se hayan expuesto en sede administrativa, o que incluso reiteren, aclaren o amplíen los puntos planteados para combatir el acto o proceso de origen, en la parte que continúe afectándolo, o bien, mediante argumentos que controviertan directamente la resolución recaída al recurso mismo.</w:t>
      </w:r>
    </w:p>
    <w:p w14:paraId="6F2E0450" w14:textId="77777777" w:rsidR="00743FAD" w:rsidRPr="00BD46F3" w:rsidRDefault="00743FAD" w:rsidP="00743FAD">
      <w:pPr>
        <w:pStyle w:val="Prrafodelista"/>
        <w:spacing w:line="240" w:lineRule="auto"/>
        <w:ind w:left="709"/>
        <w:rPr>
          <w:rFonts w:ascii="Arial" w:hAnsi="Arial" w:cs="Arial"/>
          <w:sz w:val="24"/>
          <w:szCs w:val="24"/>
        </w:rPr>
      </w:pPr>
    </w:p>
    <w:p w14:paraId="53685C22" w14:textId="77777777" w:rsidR="00743FAD" w:rsidRDefault="00743FAD" w:rsidP="00743FAD">
      <w:pPr>
        <w:pStyle w:val="Prrafodelista"/>
        <w:numPr>
          <w:ilvl w:val="2"/>
          <w:numId w:val="4"/>
        </w:numPr>
        <w:autoSpaceDE w:val="0"/>
        <w:autoSpaceDN w:val="0"/>
        <w:adjustRightInd w:val="0"/>
        <w:spacing w:after="0" w:line="240" w:lineRule="auto"/>
        <w:ind w:left="709" w:firstLine="0"/>
        <w:jc w:val="both"/>
        <w:rPr>
          <w:rFonts w:ascii="Arial" w:hAnsi="Arial" w:cs="Arial"/>
          <w:sz w:val="24"/>
          <w:szCs w:val="24"/>
        </w:rPr>
      </w:pPr>
      <w:r>
        <w:rPr>
          <w:rFonts w:ascii="Arial" w:hAnsi="Arial" w:cs="Arial"/>
          <w:sz w:val="24"/>
          <w:szCs w:val="24"/>
        </w:rPr>
        <w:t>Del criterio establecido por el Pleno del Tribunal Administrativo, se desprende que el Código materia de estudio, no advierte disposición que establezca que en el proceso contencioso administrativo es posible impugnar, de manera simultánea tanto la resolución recurrida en sede administrativa, como el propio acto reclamado en el juicio de nulidad. Puntualiza que cuando se agota algún recurso en sede administrativa, la Litis cerrada impera en nuestro proceso administrativo impide a dicho Tribunal analizar directamente el acto o resolución recurrida, pues antes bien, debe ceñirse a lo resuelto en el recurso administrativo, mientras que, por lo que toca al concepto de Litis abierta ocurriría todo lo contrario.</w:t>
      </w:r>
    </w:p>
    <w:p w14:paraId="65A373EB" w14:textId="77777777" w:rsidR="000373E0" w:rsidRDefault="000373E0" w:rsidP="00743FAD">
      <w:pPr>
        <w:pStyle w:val="Prrafodelista"/>
        <w:spacing w:after="0" w:line="240" w:lineRule="auto"/>
        <w:ind w:left="284" w:firstLine="567"/>
        <w:jc w:val="both"/>
        <w:rPr>
          <w:rFonts w:ascii="Arial" w:hAnsi="Arial" w:cs="Arial"/>
          <w:sz w:val="24"/>
          <w:szCs w:val="24"/>
        </w:rPr>
      </w:pPr>
    </w:p>
    <w:p w14:paraId="4AA2E9F8" w14:textId="77777777" w:rsidR="000373E0" w:rsidRPr="00810BF2" w:rsidRDefault="000373E0" w:rsidP="00743FAD">
      <w:pPr>
        <w:spacing w:after="0" w:line="240" w:lineRule="auto"/>
        <w:jc w:val="both"/>
        <w:rPr>
          <w:rFonts w:ascii="Arial" w:hAnsi="Arial" w:cs="Arial"/>
          <w:sz w:val="24"/>
          <w:szCs w:val="24"/>
        </w:rPr>
      </w:pPr>
      <w:r w:rsidRPr="00810BF2">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14:paraId="66F6A2A3" w14:textId="77777777" w:rsidR="000373E0" w:rsidRDefault="000373E0" w:rsidP="00743FAD">
      <w:pPr>
        <w:spacing w:after="0" w:line="240" w:lineRule="auto"/>
        <w:jc w:val="both"/>
        <w:rPr>
          <w:rFonts w:ascii="Arial" w:hAnsi="Arial" w:cs="Arial"/>
          <w:sz w:val="24"/>
          <w:szCs w:val="24"/>
        </w:rPr>
      </w:pPr>
    </w:p>
    <w:p w14:paraId="1ECA355D" w14:textId="77777777" w:rsidR="000373E0" w:rsidRPr="00810BF2" w:rsidRDefault="000373E0" w:rsidP="00743FAD">
      <w:pPr>
        <w:spacing w:after="0" w:line="240" w:lineRule="auto"/>
        <w:jc w:val="both"/>
        <w:rPr>
          <w:rFonts w:ascii="Arial" w:hAnsi="Arial" w:cs="Arial"/>
          <w:sz w:val="24"/>
          <w:szCs w:val="24"/>
        </w:rPr>
      </w:pPr>
    </w:p>
    <w:p w14:paraId="4E6DE4B6" w14:textId="77777777" w:rsidR="000373E0" w:rsidRDefault="000373E0" w:rsidP="00743FAD">
      <w:pPr>
        <w:spacing w:after="0" w:line="240" w:lineRule="auto"/>
        <w:jc w:val="center"/>
        <w:rPr>
          <w:rFonts w:ascii="Arial" w:hAnsi="Arial" w:cs="Arial"/>
          <w:b/>
          <w:sz w:val="24"/>
          <w:szCs w:val="24"/>
          <w:lang w:val="pt-BR"/>
        </w:rPr>
      </w:pPr>
      <w:r w:rsidRPr="00810BF2">
        <w:rPr>
          <w:rFonts w:ascii="Arial" w:hAnsi="Arial" w:cs="Arial"/>
          <w:b/>
          <w:sz w:val="24"/>
          <w:szCs w:val="24"/>
          <w:lang w:val="pt-BR"/>
        </w:rPr>
        <w:t>A C U E R D O</w:t>
      </w:r>
    </w:p>
    <w:p w14:paraId="68EBEF3C" w14:textId="77777777" w:rsidR="000373E0" w:rsidRPr="00810BF2" w:rsidRDefault="000373E0" w:rsidP="00743FAD">
      <w:pPr>
        <w:spacing w:after="0" w:line="240" w:lineRule="auto"/>
        <w:jc w:val="both"/>
        <w:rPr>
          <w:rFonts w:ascii="Arial" w:hAnsi="Arial" w:cs="Arial"/>
          <w:b/>
          <w:sz w:val="24"/>
          <w:szCs w:val="24"/>
          <w:lang w:val="pt-BR"/>
        </w:rPr>
      </w:pPr>
    </w:p>
    <w:p w14:paraId="3E45B7D3" w14:textId="77777777" w:rsidR="000373E0" w:rsidRPr="00BA1802" w:rsidRDefault="000373E0" w:rsidP="00743FAD">
      <w:pPr>
        <w:spacing w:after="0" w:line="240" w:lineRule="auto"/>
        <w:jc w:val="both"/>
        <w:rPr>
          <w:rFonts w:ascii="Arial" w:hAnsi="Arial" w:cs="Arial"/>
          <w:sz w:val="24"/>
          <w:szCs w:val="24"/>
        </w:rPr>
      </w:pPr>
      <w:r w:rsidRPr="00810BF2">
        <w:rPr>
          <w:rFonts w:ascii="Arial" w:hAnsi="Arial" w:cs="Arial"/>
          <w:b/>
          <w:sz w:val="24"/>
          <w:szCs w:val="24"/>
        </w:rPr>
        <w:t>Único.</w:t>
      </w:r>
      <w:r w:rsidRPr="00810BF2">
        <w:rPr>
          <w:rFonts w:ascii="Arial" w:hAnsi="Arial" w:cs="Arial"/>
          <w:sz w:val="24"/>
          <w:szCs w:val="24"/>
        </w:rPr>
        <w:t xml:space="preserve"> Para efectos del último párrafo del artículo 56 de la Constitución Política para el Estado de Guanajuato, envíese la respuesta </w:t>
      </w:r>
      <w:r>
        <w:rPr>
          <w:rFonts w:ascii="Arial" w:hAnsi="Arial" w:cs="Arial"/>
          <w:sz w:val="24"/>
          <w:szCs w:val="24"/>
        </w:rPr>
        <w:t xml:space="preserve">al </w:t>
      </w:r>
      <w:r w:rsidRPr="000373E0">
        <w:rPr>
          <w:rFonts w:ascii="Arial" w:hAnsi="Arial" w:cs="Arial"/>
          <w:b/>
          <w:sz w:val="24"/>
          <w:szCs w:val="24"/>
        </w:rPr>
        <w:t>oficio circular 232</w:t>
      </w:r>
      <w:r>
        <w:rPr>
          <w:rFonts w:ascii="Arial" w:hAnsi="Arial" w:cs="Arial"/>
          <w:sz w:val="24"/>
          <w:szCs w:val="24"/>
        </w:rPr>
        <w:t xml:space="preserve">, correspondiente a la </w:t>
      </w:r>
      <w:r w:rsidR="00743FAD">
        <w:rPr>
          <w:rFonts w:ascii="Arial" w:hAnsi="Arial" w:cs="Arial"/>
          <w:b/>
          <w:color w:val="222222"/>
          <w:sz w:val="24"/>
          <w:szCs w:val="24"/>
          <w:shd w:val="clear" w:color="auto" w:fill="FFFFFF"/>
        </w:rPr>
        <w:t>iniciativa por la que</w:t>
      </w:r>
      <w:r w:rsidR="00743FAD">
        <w:rPr>
          <w:rFonts w:ascii="Arial" w:hAnsi="Arial" w:cs="Arial"/>
          <w:color w:val="222222"/>
          <w:sz w:val="24"/>
          <w:szCs w:val="24"/>
          <w:shd w:val="clear" w:color="auto" w:fill="FFFFFF"/>
        </w:rPr>
        <w:t> </w:t>
      </w:r>
      <w:r w:rsidR="00743FAD">
        <w:rPr>
          <w:rFonts w:ascii="Arial" w:hAnsi="Arial" w:cs="Arial"/>
          <w:b/>
          <w:bCs/>
          <w:color w:val="222222"/>
          <w:sz w:val="24"/>
          <w:szCs w:val="24"/>
          <w:shd w:val="clear" w:color="auto" w:fill="FFFFFF"/>
        </w:rPr>
        <w:t>se adiciona un artículo 266 Bis al Código de Procedimiento y Justicia Administrativa para el Estado y los Municipios de Guanajuato</w:t>
      </w:r>
      <w:r>
        <w:rPr>
          <w:rFonts w:ascii="Arial" w:hAnsi="Arial" w:cs="Arial"/>
          <w:b/>
          <w:sz w:val="24"/>
          <w:szCs w:val="24"/>
          <w:lang w:val="es-ES"/>
        </w:rPr>
        <w:t xml:space="preserve">, </w:t>
      </w:r>
      <w:r>
        <w:rPr>
          <w:rFonts w:ascii="Arial" w:hAnsi="Arial" w:cs="Arial"/>
          <w:sz w:val="24"/>
          <w:szCs w:val="24"/>
          <w:lang w:val="es-ES"/>
        </w:rPr>
        <w:t xml:space="preserve">con el objeto de </w:t>
      </w:r>
      <w:r w:rsidR="00743FAD">
        <w:rPr>
          <w:rFonts w:ascii="Arial" w:hAnsi="Arial" w:cs="Arial"/>
          <w:color w:val="222222"/>
          <w:sz w:val="24"/>
          <w:szCs w:val="24"/>
          <w:shd w:val="clear" w:color="auto" w:fill="FFFFFF"/>
        </w:rPr>
        <w:t>incorporar el procedimiento contencioso la figura de la Litis abierta</w:t>
      </w:r>
      <w:r w:rsidRPr="0022518F">
        <w:rPr>
          <w:rFonts w:ascii="Arial" w:hAnsi="Arial" w:cs="Arial"/>
          <w:b/>
          <w:bCs/>
          <w:sz w:val="24"/>
          <w:szCs w:val="24"/>
          <w:shd w:val="clear" w:color="auto" w:fill="FFFFFF"/>
        </w:rPr>
        <w:t>.</w:t>
      </w:r>
      <w:r w:rsidRPr="00810BF2">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  </w:t>
      </w:r>
    </w:p>
    <w:p w14:paraId="13A9EA21" w14:textId="77777777" w:rsidR="000373E0" w:rsidRPr="00302E8D" w:rsidRDefault="000373E0" w:rsidP="00743FAD">
      <w:pPr>
        <w:spacing w:after="0" w:line="240" w:lineRule="auto"/>
        <w:rPr>
          <w:rFonts w:ascii="Arial" w:eastAsia="Times New Roman" w:hAnsi="Arial" w:cs="Arial"/>
          <w:b/>
          <w:bCs/>
          <w:sz w:val="24"/>
          <w:szCs w:val="24"/>
          <w:lang w:eastAsia="es-ES"/>
        </w:rPr>
      </w:pPr>
    </w:p>
    <w:p w14:paraId="7887AA9C" w14:textId="77777777" w:rsidR="000373E0" w:rsidRPr="00302E8D" w:rsidRDefault="000373E0" w:rsidP="00743FAD">
      <w:pPr>
        <w:spacing w:after="0" w:line="240" w:lineRule="auto"/>
        <w:jc w:val="center"/>
        <w:rPr>
          <w:rFonts w:ascii="Arial" w:eastAsia="Times New Roman" w:hAnsi="Arial" w:cs="Arial"/>
          <w:b/>
          <w:bCs/>
          <w:sz w:val="24"/>
          <w:szCs w:val="24"/>
          <w:lang w:eastAsia="es-ES"/>
        </w:rPr>
      </w:pPr>
      <w:r w:rsidRPr="00302E8D">
        <w:rPr>
          <w:rFonts w:ascii="Arial" w:eastAsia="Times New Roman" w:hAnsi="Arial" w:cs="Arial"/>
          <w:b/>
          <w:bCs/>
          <w:sz w:val="24"/>
          <w:szCs w:val="24"/>
          <w:lang w:eastAsia="es-ES"/>
        </w:rPr>
        <w:lastRenderedPageBreak/>
        <w:t>A T E N T A M E N T E</w:t>
      </w:r>
    </w:p>
    <w:p w14:paraId="07A90C79" w14:textId="77777777" w:rsidR="000373E0" w:rsidRPr="00302E8D" w:rsidRDefault="000373E0" w:rsidP="00743FAD">
      <w:pPr>
        <w:spacing w:after="0" w:line="240" w:lineRule="auto"/>
        <w:jc w:val="center"/>
        <w:rPr>
          <w:rFonts w:ascii="Arial" w:eastAsia="Times New Roman" w:hAnsi="Arial" w:cs="Arial"/>
          <w:b/>
          <w:sz w:val="24"/>
          <w:szCs w:val="24"/>
          <w:lang w:val="es-ES" w:eastAsia="es-ES"/>
        </w:rPr>
      </w:pPr>
      <w:r w:rsidRPr="00302E8D">
        <w:rPr>
          <w:rFonts w:ascii="Arial" w:eastAsia="Times New Roman" w:hAnsi="Arial" w:cs="Arial"/>
          <w:b/>
          <w:sz w:val="24"/>
          <w:szCs w:val="24"/>
          <w:lang w:val="es-ES" w:eastAsia="es-ES"/>
        </w:rPr>
        <w:t>“EL TRABAJO TODO LO VENCE”</w:t>
      </w:r>
    </w:p>
    <w:p w14:paraId="7B5043B6" w14:textId="77777777" w:rsidR="000373E0" w:rsidRPr="00302E8D" w:rsidRDefault="000373E0" w:rsidP="00743FAD">
      <w:pPr>
        <w:pStyle w:val="Default"/>
        <w:jc w:val="center"/>
        <w:rPr>
          <w:b/>
          <w:bCs/>
          <w:color w:val="auto"/>
        </w:rPr>
      </w:pPr>
      <w:r w:rsidRPr="00302E8D">
        <w:rPr>
          <w:b/>
          <w:bCs/>
          <w:color w:val="auto"/>
          <w:lang w:val="es-ES_tradnl"/>
        </w:rPr>
        <w:t>“2020, AÑO DE LEONA VICARIO, BENEMÉRITA MADRE DE LA PATRIA”</w:t>
      </w:r>
    </w:p>
    <w:p w14:paraId="5142A171" w14:textId="77777777" w:rsidR="000373E0" w:rsidRDefault="000373E0" w:rsidP="00743FAD">
      <w:pPr>
        <w:spacing w:after="0" w:line="240" w:lineRule="auto"/>
        <w:jc w:val="center"/>
        <w:rPr>
          <w:rFonts w:ascii="Arial" w:hAnsi="Arial" w:cs="Arial"/>
          <w:b/>
          <w:bCs/>
          <w:sz w:val="24"/>
          <w:szCs w:val="24"/>
          <w:lang w:val="es-ES" w:eastAsia="es-ES"/>
        </w:rPr>
      </w:pPr>
      <w:r w:rsidRPr="00302E8D">
        <w:rPr>
          <w:rFonts w:ascii="Arial" w:hAnsi="Arial" w:cs="Arial"/>
          <w:b/>
          <w:bCs/>
          <w:sz w:val="24"/>
          <w:szCs w:val="24"/>
          <w:lang w:val="es-ES" w:eastAsia="es-ES"/>
        </w:rPr>
        <w:t xml:space="preserve">LEÓN, GUANAJUATO, </w:t>
      </w:r>
      <w:r>
        <w:rPr>
          <w:rFonts w:ascii="Arial" w:hAnsi="Arial" w:cs="Arial"/>
          <w:b/>
          <w:bCs/>
          <w:sz w:val="24"/>
          <w:szCs w:val="24"/>
          <w:lang w:val="es-ES" w:eastAsia="es-ES"/>
        </w:rPr>
        <w:t xml:space="preserve">18 DE AGOSTO </w:t>
      </w:r>
      <w:r w:rsidRPr="00302E8D">
        <w:rPr>
          <w:rFonts w:ascii="Arial" w:hAnsi="Arial" w:cs="Arial"/>
          <w:b/>
          <w:bCs/>
          <w:sz w:val="24"/>
          <w:szCs w:val="24"/>
          <w:lang w:val="es-ES" w:eastAsia="es-ES"/>
        </w:rPr>
        <w:t>DE 2020</w:t>
      </w:r>
    </w:p>
    <w:p w14:paraId="04383D80" w14:textId="77777777" w:rsidR="000373E0" w:rsidRPr="0050400B" w:rsidRDefault="000373E0" w:rsidP="00743FAD">
      <w:pPr>
        <w:spacing w:after="0" w:line="240" w:lineRule="auto"/>
        <w:jc w:val="center"/>
        <w:rPr>
          <w:rFonts w:ascii="Arial" w:hAnsi="Arial" w:cs="Arial"/>
          <w:b/>
          <w:bCs/>
          <w:sz w:val="24"/>
          <w:szCs w:val="24"/>
          <w:lang w:eastAsia="es-ES"/>
        </w:rPr>
      </w:pPr>
      <w:r w:rsidRPr="00810BF2">
        <w:rPr>
          <w:rFonts w:ascii="Arial" w:hAnsi="Arial" w:cs="Arial"/>
          <w:b/>
          <w:bCs/>
          <w:sz w:val="24"/>
          <w:szCs w:val="24"/>
          <w:lang w:eastAsia="es-ES"/>
        </w:rPr>
        <w:t xml:space="preserve">INTEGRANTES DE LA </w:t>
      </w:r>
      <w:r w:rsidRPr="00810BF2">
        <w:rPr>
          <w:rFonts w:ascii="Arial" w:hAnsi="Arial" w:cs="Arial"/>
          <w:b/>
          <w:bCs/>
          <w:sz w:val="24"/>
          <w:szCs w:val="24"/>
          <w:lang w:val="es-ES_tradnl" w:eastAsia="es-ES"/>
        </w:rPr>
        <w:t>COMISIÓN DE GOBIERNO, SEGURIDAD PÚBLICA Y TRÁNSITO</w:t>
      </w:r>
    </w:p>
    <w:p w14:paraId="7C9C1BFB" w14:textId="77777777" w:rsidR="000373E0" w:rsidRDefault="000373E0" w:rsidP="00743FAD">
      <w:pPr>
        <w:spacing w:after="0" w:line="240" w:lineRule="auto"/>
        <w:rPr>
          <w:rFonts w:ascii="Arial" w:hAnsi="Arial" w:cs="Arial"/>
          <w:b/>
          <w:sz w:val="24"/>
          <w:szCs w:val="24"/>
        </w:rPr>
      </w:pPr>
    </w:p>
    <w:p w14:paraId="0BEA6D24" w14:textId="77777777" w:rsidR="000373E0" w:rsidRPr="00810BF2" w:rsidRDefault="000373E0" w:rsidP="00743FAD">
      <w:pPr>
        <w:spacing w:after="0" w:line="240" w:lineRule="auto"/>
        <w:rPr>
          <w:rFonts w:ascii="Arial" w:hAnsi="Arial" w:cs="Arial"/>
          <w:b/>
          <w:sz w:val="24"/>
          <w:szCs w:val="24"/>
        </w:rPr>
      </w:pPr>
    </w:p>
    <w:p w14:paraId="3B69A26B" w14:textId="77777777" w:rsidR="000373E0" w:rsidRPr="00810BF2" w:rsidRDefault="000373E0" w:rsidP="00743FAD">
      <w:pPr>
        <w:spacing w:after="0" w:line="240" w:lineRule="auto"/>
        <w:rPr>
          <w:rFonts w:ascii="Arial" w:hAnsi="Arial" w:cs="Arial"/>
          <w:b/>
          <w:sz w:val="24"/>
          <w:szCs w:val="24"/>
        </w:rPr>
      </w:pPr>
    </w:p>
    <w:p w14:paraId="5E88C061" w14:textId="77777777" w:rsidR="000373E0" w:rsidRPr="00810BF2" w:rsidRDefault="000373E0" w:rsidP="00743FAD">
      <w:pPr>
        <w:spacing w:after="0" w:line="240" w:lineRule="auto"/>
        <w:rPr>
          <w:rFonts w:ascii="Arial" w:hAnsi="Arial" w:cs="Arial"/>
          <w:b/>
          <w:sz w:val="24"/>
          <w:szCs w:val="24"/>
        </w:rPr>
      </w:pPr>
      <w:r w:rsidRPr="00810BF2">
        <w:rPr>
          <w:rFonts w:ascii="Arial" w:hAnsi="Arial" w:cs="Arial"/>
          <w:b/>
          <w:sz w:val="24"/>
          <w:szCs w:val="24"/>
        </w:rPr>
        <w:t>CHRISTIAN JAVIER CRUZ VILLEGAS</w:t>
      </w:r>
    </w:p>
    <w:p w14:paraId="3F493D74" w14:textId="77777777" w:rsidR="000373E0" w:rsidRPr="00810BF2" w:rsidRDefault="000373E0" w:rsidP="00743FAD">
      <w:pPr>
        <w:spacing w:after="0" w:line="240" w:lineRule="auto"/>
        <w:rPr>
          <w:rFonts w:ascii="Arial" w:hAnsi="Arial" w:cs="Arial"/>
          <w:b/>
          <w:sz w:val="24"/>
          <w:szCs w:val="24"/>
        </w:rPr>
      </w:pPr>
      <w:r w:rsidRPr="00810BF2">
        <w:rPr>
          <w:rFonts w:ascii="Arial" w:hAnsi="Arial" w:cs="Arial"/>
          <w:b/>
          <w:sz w:val="24"/>
          <w:szCs w:val="24"/>
        </w:rPr>
        <w:t>SINDICO</w:t>
      </w:r>
    </w:p>
    <w:p w14:paraId="77C75A69" w14:textId="77777777" w:rsidR="000373E0" w:rsidRDefault="000373E0" w:rsidP="00743FAD">
      <w:pPr>
        <w:spacing w:after="0" w:line="240" w:lineRule="auto"/>
        <w:rPr>
          <w:rFonts w:ascii="Arial" w:hAnsi="Arial" w:cs="Arial"/>
          <w:b/>
          <w:sz w:val="24"/>
          <w:szCs w:val="24"/>
        </w:rPr>
      </w:pPr>
    </w:p>
    <w:p w14:paraId="35E47517" w14:textId="77777777" w:rsidR="00EE26CC" w:rsidRPr="00810BF2" w:rsidRDefault="00EE26CC" w:rsidP="00743FAD">
      <w:pPr>
        <w:spacing w:after="0" w:line="240" w:lineRule="auto"/>
        <w:rPr>
          <w:rFonts w:ascii="Arial" w:hAnsi="Arial" w:cs="Arial"/>
          <w:b/>
          <w:sz w:val="24"/>
          <w:szCs w:val="24"/>
        </w:rPr>
      </w:pPr>
    </w:p>
    <w:p w14:paraId="186CD271" w14:textId="77777777" w:rsidR="000373E0" w:rsidRPr="00810BF2" w:rsidRDefault="000373E0" w:rsidP="00743FAD">
      <w:pPr>
        <w:spacing w:after="0" w:line="240" w:lineRule="auto"/>
        <w:jc w:val="right"/>
        <w:rPr>
          <w:rFonts w:ascii="Arial" w:hAnsi="Arial" w:cs="Arial"/>
          <w:b/>
          <w:sz w:val="24"/>
          <w:szCs w:val="24"/>
        </w:rPr>
      </w:pPr>
    </w:p>
    <w:p w14:paraId="21D1FFC9" w14:textId="77777777" w:rsidR="000373E0" w:rsidRPr="00810BF2" w:rsidRDefault="000373E0" w:rsidP="00743FAD">
      <w:pPr>
        <w:spacing w:after="0" w:line="240" w:lineRule="auto"/>
        <w:jc w:val="right"/>
        <w:rPr>
          <w:rFonts w:ascii="Arial" w:hAnsi="Arial" w:cs="Arial"/>
          <w:b/>
          <w:sz w:val="24"/>
          <w:szCs w:val="24"/>
        </w:rPr>
      </w:pPr>
      <w:r w:rsidRPr="00810BF2">
        <w:rPr>
          <w:rFonts w:ascii="Arial" w:hAnsi="Arial" w:cs="Arial"/>
          <w:b/>
          <w:sz w:val="24"/>
          <w:szCs w:val="24"/>
        </w:rPr>
        <w:t>ANA MARÍA ESQUIVEL ARRONA</w:t>
      </w:r>
    </w:p>
    <w:p w14:paraId="104E877B" w14:textId="77777777" w:rsidR="000373E0" w:rsidRPr="00810BF2" w:rsidRDefault="000373E0" w:rsidP="00743FAD">
      <w:pPr>
        <w:spacing w:after="0" w:line="240" w:lineRule="auto"/>
        <w:jc w:val="right"/>
        <w:rPr>
          <w:rFonts w:ascii="Arial" w:hAnsi="Arial" w:cs="Arial"/>
          <w:b/>
          <w:sz w:val="24"/>
          <w:szCs w:val="24"/>
        </w:rPr>
      </w:pPr>
      <w:r w:rsidRPr="00810BF2">
        <w:rPr>
          <w:rFonts w:ascii="Arial" w:hAnsi="Arial" w:cs="Arial"/>
          <w:b/>
          <w:sz w:val="24"/>
          <w:szCs w:val="24"/>
        </w:rPr>
        <w:t>REGIDORA</w:t>
      </w:r>
    </w:p>
    <w:p w14:paraId="2FB03BC6" w14:textId="77777777" w:rsidR="000373E0" w:rsidRDefault="000373E0" w:rsidP="00743FAD">
      <w:pPr>
        <w:spacing w:after="0" w:line="240" w:lineRule="auto"/>
        <w:rPr>
          <w:rFonts w:ascii="Arial" w:hAnsi="Arial" w:cs="Arial"/>
          <w:b/>
          <w:sz w:val="24"/>
          <w:szCs w:val="24"/>
        </w:rPr>
      </w:pPr>
    </w:p>
    <w:p w14:paraId="16F1D65A" w14:textId="77777777" w:rsidR="00EE26CC" w:rsidRPr="00810BF2" w:rsidRDefault="00EE26CC" w:rsidP="00743FAD">
      <w:pPr>
        <w:spacing w:after="0" w:line="240" w:lineRule="auto"/>
        <w:rPr>
          <w:rFonts w:ascii="Arial" w:hAnsi="Arial" w:cs="Arial"/>
          <w:b/>
          <w:sz w:val="24"/>
          <w:szCs w:val="24"/>
        </w:rPr>
      </w:pPr>
    </w:p>
    <w:p w14:paraId="56B8EFBE" w14:textId="77777777" w:rsidR="000373E0" w:rsidRPr="00810BF2" w:rsidRDefault="000373E0" w:rsidP="00743FAD">
      <w:pPr>
        <w:spacing w:after="0" w:line="240" w:lineRule="auto"/>
        <w:rPr>
          <w:rFonts w:ascii="Arial" w:hAnsi="Arial" w:cs="Arial"/>
          <w:b/>
          <w:sz w:val="24"/>
          <w:szCs w:val="24"/>
        </w:rPr>
      </w:pPr>
    </w:p>
    <w:p w14:paraId="0FD23CF2" w14:textId="77777777" w:rsidR="000373E0" w:rsidRPr="00810BF2" w:rsidRDefault="000373E0" w:rsidP="00743FAD">
      <w:pPr>
        <w:spacing w:after="0" w:line="240" w:lineRule="auto"/>
        <w:rPr>
          <w:rFonts w:ascii="Arial" w:hAnsi="Arial" w:cs="Arial"/>
          <w:b/>
          <w:sz w:val="24"/>
          <w:szCs w:val="24"/>
        </w:rPr>
      </w:pPr>
      <w:r w:rsidRPr="00810BF2">
        <w:rPr>
          <w:rFonts w:ascii="Arial" w:hAnsi="Arial" w:cs="Arial"/>
          <w:b/>
          <w:sz w:val="24"/>
          <w:szCs w:val="24"/>
        </w:rPr>
        <w:t>MARÍA OLIMPIA ZAPATA PADILLA</w:t>
      </w:r>
    </w:p>
    <w:p w14:paraId="0F78B921" w14:textId="77777777" w:rsidR="000373E0" w:rsidRPr="00810BF2" w:rsidRDefault="000373E0" w:rsidP="00743FAD">
      <w:pPr>
        <w:spacing w:after="0" w:line="240" w:lineRule="auto"/>
        <w:rPr>
          <w:rFonts w:ascii="Arial" w:hAnsi="Arial" w:cs="Arial"/>
          <w:b/>
          <w:sz w:val="24"/>
          <w:szCs w:val="24"/>
        </w:rPr>
      </w:pPr>
      <w:r w:rsidRPr="00810BF2">
        <w:rPr>
          <w:rFonts w:ascii="Arial" w:hAnsi="Arial" w:cs="Arial"/>
          <w:b/>
          <w:sz w:val="24"/>
          <w:szCs w:val="24"/>
        </w:rPr>
        <w:t>REGIDORA</w:t>
      </w:r>
    </w:p>
    <w:p w14:paraId="2562D6B8" w14:textId="77777777" w:rsidR="000373E0" w:rsidRDefault="000373E0" w:rsidP="00743FAD">
      <w:pPr>
        <w:spacing w:after="0" w:line="240" w:lineRule="auto"/>
        <w:jc w:val="right"/>
        <w:rPr>
          <w:rFonts w:ascii="Arial" w:hAnsi="Arial" w:cs="Arial"/>
          <w:b/>
          <w:sz w:val="24"/>
          <w:szCs w:val="24"/>
        </w:rPr>
      </w:pPr>
    </w:p>
    <w:p w14:paraId="5BD41F5E" w14:textId="77777777" w:rsidR="00EE26CC" w:rsidRPr="00810BF2" w:rsidRDefault="00EE26CC" w:rsidP="00743FAD">
      <w:pPr>
        <w:spacing w:after="0" w:line="240" w:lineRule="auto"/>
        <w:jc w:val="right"/>
        <w:rPr>
          <w:rFonts w:ascii="Arial" w:hAnsi="Arial" w:cs="Arial"/>
          <w:b/>
          <w:sz w:val="24"/>
          <w:szCs w:val="24"/>
        </w:rPr>
      </w:pPr>
    </w:p>
    <w:p w14:paraId="73C440C5" w14:textId="77777777" w:rsidR="000373E0" w:rsidRPr="00810BF2" w:rsidRDefault="000373E0" w:rsidP="00743FAD">
      <w:pPr>
        <w:spacing w:after="0" w:line="240" w:lineRule="auto"/>
        <w:jc w:val="right"/>
        <w:rPr>
          <w:rFonts w:ascii="Arial" w:hAnsi="Arial" w:cs="Arial"/>
          <w:b/>
          <w:sz w:val="24"/>
          <w:szCs w:val="24"/>
        </w:rPr>
      </w:pPr>
    </w:p>
    <w:p w14:paraId="4AF5CDC9" w14:textId="77777777" w:rsidR="000373E0" w:rsidRPr="00810BF2" w:rsidRDefault="000373E0" w:rsidP="00743FAD">
      <w:pPr>
        <w:spacing w:after="0" w:line="240" w:lineRule="auto"/>
        <w:jc w:val="right"/>
        <w:rPr>
          <w:rFonts w:ascii="Arial" w:hAnsi="Arial" w:cs="Arial"/>
          <w:b/>
          <w:sz w:val="24"/>
          <w:szCs w:val="24"/>
        </w:rPr>
      </w:pPr>
      <w:r w:rsidRPr="00810BF2">
        <w:rPr>
          <w:rFonts w:ascii="Arial" w:hAnsi="Arial" w:cs="Arial"/>
          <w:b/>
          <w:sz w:val="24"/>
          <w:szCs w:val="24"/>
        </w:rPr>
        <w:t>HÉCTOR ORTIZ TORRES</w:t>
      </w:r>
    </w:p>
    <w:p w14:paraId="52E47A8D" w14:textId="77777777" w:rsidR="000373E0" w:rsidRPr="00810BF2" w:rsidRDefault="000373E0" w:rsidP="00743FAD">
      <w:pPr>
        <w:spacing w:after="0" w:line="240" w:lineRule="auto"/>
        <w:jc w:val="right"/>
        <w:rPr>
          <w:rFonts w:ascii="Arial" w:hAnsi="Arial" w:cs="Arial"/>
          <w:b/>
          <w:sz w:val="24"/>
          <w:szCs w:val="24"/>
        </w:rPr>
      </w:pPr>
      <w:r w:rsidRPr="00810BF2">
        <w:rPr>
          <w:rFonts w:ascii="Arial" w:hAnsi="Arial" w:cs="Arial"/>
          <w:b/>
          <w:sz w:val="24"/>
          <w:szCs w:val="24"/>
        </w:rPr>
        <w:t>REGIDOR</w:t>
      </w:r>
    </w:p>
    <w:p w14:paraId="223E4798" w14:textId="77777777" w:rsidR="000373E0" w:rsidRPr="00810BF2" w:rsidRDefault="000373E0" w:rsidP="00743FAD">
      <w:pPr>
        <w:spacing w:after="0" w:line="240" w:lineRule="auto"/>
        <w:rPr>
          <w:rFonts w:ascii="Arial" w:hAnsi="Arial" w:cs="Arial"/>
          <w:b/>
          <w:sz w:val="24"/>
          <w:szCs w:val="24"/>
        </w:rPr>
      </w:pPr>
    </w:p>
    <w:p w14:paraId="4A4D59ED" w14:textId="77777777" w:rsidR="000373E0" w:rsidRDefault="000373E0" w:rsidP="00743FAD">
      <w:pPr>
        <w:spacing w:after="0" w:line="240" w:lineRule="auto"/>
        <w:jc w:val="right"/>
        <w:rPr>
          <w:rFonts w:ascii="Arial" w:hAnsi="Arial" w:cs="Arial"/>
          <w:b/>
          <w:sz w:val="24"/>
          <w:szCs w:val="24"/>
        </w:rPr>
      </w:pPr>
    </w:p>
    <w:p w14:paraId="147FAC6C" w14:textId="77777777" w:rsidR="00EE26CC" w:rsidRPr="00810BF2" w:rsidRDefault="00EE26CC" w:rsidP="00743FAD">
      <w:pPr>
        <w:spacing w:after="0" w:line="240" w:lineRule="auto"/>
        <w:jc w:val="right"/>
        <w:rPr>
          <w:rFonts w:ascii="Arial" w:hAnsi="Arial" w:cs="Arial"/>
          <w:b/>
          <w:sz w:val="24"/>
          <w:szCs w:val="24"/>
        </w:rPr>
      </w:pPr>
    </w:p>
    <w:p w14:paraId="01065E1D" w14:textId="77777777" w:rsidR="000373E0" w:rsidRPr="00810BF2" w:rsidRDefault="000373E0" w:rsidP="00743FAD">
      <w:pPr>
        <w:spacing w:after="0" w:line="240" w:lineRule="auto"/>
        <w:rPr>
          <w:rFonts w:ascii="Arial" w:hAnsi="Arial" w:cs="Arial"/>
          <w:b/>
          <w:sz w:val="24"/>
          <w:szCs w:val="24"/>
        </w:rPr>
      </w:pPr>
      <w:r w:rsidRPr="00810BF2">
        <w:rPr>
          <w:rFonts w:ascii="Arial" w:hAnsi="Arial" w:cs="Arial"/>
          <w:b/>
          <w:sz w:val="24"/>
          <w:szCs w:val="24"/>
        </w:rPr>
        <w:t>VANESSA MONTES DE OCA MAYAGOITIA</w:t>
      </w:r>
    </w:p>
    <w:p w14:paraId="6C553ED2" w14:textId="77777777" w:rsidR="000373E0" w:rsidRPr="00810BF2" w:rsidRDefault="000373E0" w:rsidP="00743FAD">
      <w:pPr>
        <w:spacing w:after="0" w:line="240" w:lineRule="auto"/>
        <w:rPr>
          <w:rFonts w:ascii="Arial" w:hAnsi="Arial" w:cs="Arial"/>
          <w:b/>
          <w:sz w:val="24"/>
          <w:szCs w:val="24"/>
        </w:rPr>
      </w:pPr>
      <w:r w:rsidRPr="00810BF2">
        <w:rPr>
          <w:rFonts w:ascii="Arial" w:hAnsi="Arial" w:cs="Arial"/>
          <w:b/>
          <w:sz w:val="24"/>
          <w:szCs w:val="24"/>
        </w:rPr>
        <w:t>REGIDORA</w:t>
      </w:r>
    </w:p>
    <w:p w14:paraId="1D57F8A7" w14:textId="77777777" w:rsidR="000373E0" w:rsidRPr="00810BF2" w:rsidRDefault="000373E0" w:rsidP="00743FAD">
      <w:pPr>
        <w:spacing w:after="0" w:line="240" w:lineRule="auto"/>
        <w:rPr>
          <w:rFonts w:ascii="Arial" w:hAnsi="Arial" w:cs="Arial"/>
          <w:b/>
          <w:sz w:val="24"/>
          <w:szCs w:val="24"/>
        </w:rPr>
      </w:pPr>
    </w:p>
    <w:p w14:paraId="52EACF25" w14:textId="77777777" w:rsidR="000373E0" w:rsidRDefault="000373E0" w:rsidP="00743FAD">
      <w:pPr>
        <w:spacing w:after="0" w:line="240" w:lineRule="auto"/>
        <w:rPr>
          <w:rFonts w:ascii="Arial" w:hAnsi="Arial" w:cs="Arial"/>
          <w:b/>
          <w:sz w:val="24"/>
          <w:szCs w:val="24"/>
        </w:rPr>
      </w:pPr>
    </w:p>
    <w:p w14:paraId="1519AC4A" w14:textId="77777777" w:rsidR="00EE26CC" w:rsidRPr="00810BF2" w:rsidRDefault="00EE26CC" w:rsidP="00743FAD">
      <w:pPr>
        <w:spacing w:after="0" w:line="240" w:lineRule="auto"/>
        <w:rPr>
          <w:rFonts w:ascii="Arial" w:hAnsi="Arial" w:cs="Arial"/>
          <w:b/>
          <w:sz w:val="24"/>
          <w:szCs w:val="24"/>
        </w:rPr>
      </w:pPr>
    </w:p>
    <w:p w14:paraId="14F3514D" w14:textId="77777777" w:rsidR="000373E0" w:rsidRPr="00810BF2" w:rsidRDefault="000373E0" w:rsidP="00743FAD">
      <w:pPr>
        <w:spacing w:after="0" w:line="240" w:lineRule="auto"/>
        <w:jc w:val="right"/>
        <w:rPr>
          <w:rFonts w:ascii="Arial" w:hAnsi="Arial" w:cs="Arial"/>
          <w:b/>
          <w:sz w:val="24"/>
          <w:szCs w:val="24"/>
        </w:rPr>
      </w:pPr>
      <w:r w:rsidRPr="00810BF2">
        <w:rPr>
          <w:rFonts w:ascii="Arial" w:hAnsi="Arial" w:cs="Arial"/>
          <w:b/>
          <w:sz w:val="24"/>
          <w:szCs w:val="24"/>
        </w:rPr>
        <w:t>GABRIEL DURÁN ORTIZ</w:t>
      </w:r>
    </w:p>
    <w:p w14:paraId="5582B636" w14:textId="77777777" w:rsidR="000373E0" w:rsidRPr="00810BF2" w:rsidRDefault="000373E0" w:rsidP="00743FAD">
      <w:pPr>
        <w:spacing w:after="0" w:line="240" w:lineRule="auto"/>
        <w:jc w:val="right"/>
        <w:rPr>
          <w:rFonts w:ascii="Arial" w:hAnsi="Arial" w:cs="Arial"/>
          <w:b/>
          <w:sz w:val="24"/>
          <w:szCs w:val="24"/>
        </w:rPr>
      </w:pPr>
      <w:r w:rsidRPr="00810BF2">
        <w:rPr>
          <w:rFonts w:ascii="Arial" w:hAnsi="Arial" w:cs="Arial"/>
          <w:b/>
          <w:sz w:val="24"/>
          <w:szCs w:val="24"/>
        </w:rPr>
        <w:t>REGIDOR</w:t>
      </w:r>
    </w:p>
    <w:p w14:paraId="12951B26" w14:textId="77777777" w:rsidR="000373E0" w:rsidRPr="00810BF2" w:rsidRDefault="000373E0" w:rsidP="00743FAD">
      <w:pPr>
        <w:spacing w:after="0" w:line="240" w:lineRule="auto"/>
        <w:rPr>
          <w:rFonts w:ascii="Arial" w:hAnsi="Arial" w:cs="Arial"/>
          <w:b/>
          <w:sz w:val="24"/>
          <w:szCs w:val="24"/>
        </w:rPr>
      </w:pPr>
    </w:p>
    <w:p w14:paraId="7D3F38FF" w14:textId="77777777" w:rsidR="000373E0" w:rsidRDefault="000373E0" w:rsidP="00743FAD">
      <w:pPr>
        <w:spacing w:after="0" w:line="240" w:lineRule="auto"/>
        <w:rPr>
          <w:rFonts w:ascii="Arial" w:hAnsi="Arial" w:cs="Arial"/>
          <w:b/>
          <w:sz w:val="24"/>
          <w:szCs w:val="24"/>
        </w:rPr>
      </w:pPr>
    </w:p>
    <w:p w14:paraId="7D7A97AD" w14:textId="77777777" w:rsidR="00EE26CC" w:rsidRPr="00810BF2" w:rsidRDefault="00EE26CC" w:rsidP="00743FAD">
      <w:pPr>
        <w:spacing w:after="0" w:line="240" w:lineRule="auto"/>
        <w:rPr>
          <w:rFonts w:ascii="Arial" w:hAnsi="Arial" w:cs="Arial"/>
          <w:b/>
          <w:sz w:val="24"/>
          <w:szCs w:val="24"/>
        </w:rPr>
      </w:pPr>
    </w:p>
    <w:p w14:paraId="6319D097" w14:textId="77777777" w:rsidR="000373E0" w:rsidRPr="00810BF2" w:rsidRDefault="000373E0" w:rsidP="00743FAD">
      <w:pPr>
        <w:spacing w:after="0" w:line="240" w:lineRule="auto"/>
        <w:rPr>
          <w:rFonts w:ascii="Arial" w:hAnsi="Arial" w:cs="Arial"/>
          <w:b/>
          <w:sz w:val="24"/>
          <w:szCs w:val="24"/>
        </w:rPr>
      </w:pPr>
      <w:r w:rsidRPr="00810BF2">
        <w:rPr>
          <w:rFonts w:ascii="Arial" w:hAnsi="Arial" w:cs="Arial"/>
          <w:b/>
          <w:sz w:val="24"/>
          <w:szCs w:val="24"/>
        </w:rPr>
        <w:t>FERNANDA ODETTE RENTERÍA MUÑOZ</w:t>
      </w:r>
    </w:p>
    <w:p w14:paraId="70641DB9" w14:textId="77777777" w:rsidR="000373E0" w:rsidRPr="00810BF2" w:rsidRDefault="000373E0" w:rsidP="00743FAD">
      <w:pPr>
        <w:spacing w:after="0" w:line="240" w:lineRule="auto"/>
        <w:rPr>
          <w:rFonts w:ascii="Arial" w:hAnsi="Arial" w:cs="Arial"/>
          <w:b/>
          <w:sz w:val="24"/>
          <w:szCs w:val="24"/>
        </w:rPr>
      </w:pPr>
      <w:r w:rsidRPr="00810BF2">
        <w:rPr>
          <w:rFonts w:ascii="Arial" w:hAnsi="Arial" w:cs="Arial"/>
          <w:b/>
          <w:sz w:val="24"/>
          <w:szCs w:val="24"/>
        </w:rPr>
        <w:t>REGIDORA</w:t>
      </w:r>
    </w:p>
    <w:p w14:paraId="4BD53F7D" w14:textId="77777777" w:rsidR="000373E0" w:rsidRPr="000373E0" w:rsidRDefault="000373E0" w:rsidP="00743FAD">
      <w:pPr>
        <w:pStyle w:val="Prrafodelista"/>
        <w:spacing w:after="0" w:line="240" w:lineRule="auto"/>
        <w:ind w:left="284" w:firstLine="567"/>
        <w:jc w:val="both"/>
        <w:rPr>
          <w:rFonts w:ascii="Arial" w:hAnsi="Arial" w:cs="Arial"/>
          <w:sz w:val="24"/>
          <w:szCs w:val="24"/>
        </w:rPr>
      </w:pPr>
    </w:p>
    <w:p w14:paraId="4EF16CDC" w14:textId="77777777" w:rsidR="00FE32F4" w:rsidRDefault="00FE32F4">
      <w:pPr>
        <w:spacing w:after="160" w:line="259" w:lineRule="auto"/>
      </w:pPr>
      <w:r>
        <w:br w:type="page"/>
      </w:r>
    </w:p>
    <w:p w14:paraId="1EEA1495" w14:textId="77777777" w:rsidR="00FE32F4" w:rsidRPr="006A19D6" w:rsidRDefault="00FE32F4" w:rsidP="00FE32F4">
      <w:pPr>
        <w:pStyle w:val="Prrafodelista"/>
        <w:shd w:val="clear" w:color="auto" w:fill="FFFFFF"/>
        <w:spacing w:before="100" w:beforeAutospacing="1" w:after="100" w:afterAutospacing="1"/>
        <w:ind w:left="0"/>
        <w:jc w:val="both"/>
        <w:rPr>
          <w:rFonts w:ascii="Arial" w:hAnsi="Arial" w:cs="Arial"/>
          <w:b/>
          <w:sz w:val="24"/>
          <w:szCs w:val="24"/>
        </w:rPr>
      </w:pPr>
      <w:r w:rsidRPr="00810BF2">
        <w:rPr>
          <w:rFonts w:ascii="Arial" w:hAnsi="Arial" w:cs="Arial"/>
          <w:b/>
          <w:spacing w:val="-4"/>
          <w:sz w:val="24"/>
          <w:szCs w:val="24"/>
        </w:rPr>
        <w:lastRenderedPageBreak/>
        <w:t>OBSERVACIONES Y APORTACIONES TÉCNICO-JURÍDICAS A LA</w:t>
      </w:r>
      <w:r>
        <w:rPr>
          <w:rFonts w:ascii="Arial" w:hAnsi="Arial" w:cs="Arial"/>
          <w:b/>
          <w:spacing w:val="-4"/>
          <w:sz w:val="24"/>
          <w:szCs w:val="24"/>
        </w:rPr>
        <w:t xml:space="preserve"> </w:t>
      </w:r>
      <w:r>
        <w:rPr>
          <w:rFonts w:ascii="Arial" w:hAnsi="Arial" w:cs="Arial"/>
          <w:b/>
          <w:color w:val="222222"/>
          <w:sz w:val="24"/>
          <w:szCs w:val="24"/>
          <w:shd w:val="clear" w:color="auto" w:fill="FFFFFF"/>
        </w:rPr>
        <w:t>INICIATIVA POR LA QUE</w:t>
      </w:r>
      <w:r>
        <w:rPr>
          <w:rFonts w:ascii="Arial" w:hAnsi="Arial" w:cs="Arial"/>
          <w:color w:val="222222"/>
          <w:sz w:val="24"/>
          <w:szCs w:val="24"/>
          <w:shd w:val="clear" w:color="auto" w:fill="FFFFFF"/>
        </w:rPr>
        <w:t> </w:t>
      </w:r>
      <w:r>
        <w:rPr>
          <w:rFonts w:ascii="Arial" w:hAnsi="Arial" w:cs="Arial"/>
          <w:b/>
          <w:bCs/>
          <w:color w:val="222222"/>
          <w:sz w:val="24"/>
          <w:szCs w:val="24"/>
          <w:shd w:val="clear" w:color="auto" w:fill="FFFFFF"/>
        </w:rPr>
        <w:t>SE ADICIONA UN ARTÍCULO 266 BIS AL CÓDIGO DE PROCEDIMIENTO Y JUSTICIA ADMINISTRATIVA PARA EL ESTADO Y LOS MUNICIPIOS DE GUANAJUATO</w:t>
      </w:r>
      <w:r>
        <w:rPr>
          <w:rFonts w:ascii="Arial" w:hAnsi="Arial" w:cs="Arial"/>
          <w:b/>
          <w:sz w:val="24"/>
          <w:szCs w:val="24"/>
          <w:lang w:val="es-ES"/>
        </w:rPr>
        <w:t>.</w:t>
      </w:r>
    </w:p>
    <w:p w14:paraId="152457BF" w14:textId="77777777" w:rsidR="00FE32F4" w:rsidRDefault="00FE32F4" w:rsidP="00FE32F4">
      <w:pPr>
        <w:jc w:val="both"/>
        <w:rPr>
          <w:rFonts w:ascii="Arial" w:hAnsi="Arial" w:cs="Arial"/>
          <w:iCs/>
          <w:color w:val="000000"/>
          <w:sz w:val="24"/>
          <w:szCs w:val="24"/>
        </w:rPr>
      </w:pPr>
      <w:r w:rsidRPr="007B6D1E">
        <w:rPr>
          <w:rFonts w:ascii="Arial" w:hAnsi="Arial" w:cs="Arial"/>
          <w:spacing w:val="-4"/>
          <w:sz w:val="24"/>
          <w:szCs w:val="24"/>
        </w:rPr>
        <w:t>Este Ayuntamiento no coincide con la inic</w:t>
      </w:r>
      <w:r>
        <w:rPr>
          <w:rFonts w:ascii="Arial" w:hAnsi="Arial" w:cs="Arial"/>
          <w:spacing w:val="-4"/>
          <w:sz w:val="24"/>
          <w:szCs w:val="24"/>
        </w:rPr>
        <w:t xml:space="preserve">iativa, considerando que </w:t>
      </w:r>
      <w:r>
        <w:rPr>
          <w:rFonts w:ascii="Arial" w:hAnsi="Arial" w:cs="Arial"/>
          <w:iCs/>
          <w:color w:val="000000"/>
          <w:sz w:val="24"/>
          <w:szCs w:val="24"/>
        </w:rPr>
        <w:t xml:space="preserve">el </w:t>
      </w:r>
      <w:r w:rsidRPr="007B6D1E">
        <w:rPr>
          <w:rFonts w:ascii="Arial" w:hAnsi="Arial" w:cs="Arial"/>
          <w:iCs/>
          <w:color w:val="000000"/>
          <w:sz w:val="24"/>
          <w:szCs w:val="24"/>
        </w:rPr>
        <w:t xml:space="preserve">primer párrafo del artículo </w:t>
      </w:r>
      <w:r>
        <w:rPr>
          <w:rFonts w:ascii="Arial" w:hAnsi="Arial" w:cs="Arial"/>
          <w:iCs/>
          <w:color w:val="000000"/>
          <w:sz w:val="24"/>
          <w:szCs w:val="24"/>
        </w:rPr>
        <w:t xml:space="preserve">propuesta </w:t>
      </w:r>
      <w:r w:rsidRPr="007B6D1E">
        <w:rPr>
          <w:rFonts w:ascii="Arial" w:hAnsi="Arial" w:cs="Arial"/>
          <w:iCs/>
          <w:color w:val="000000"/>
          <w:sz w:val="24"/>
          <w:szCs w:val="24"/>
        </w:rPr>
        <w:t xml:space="preserve">es innecesario </w:t>
      </w:r>
      <w:r>
        <w:rPr>
          <w:rFonts w:ascii="Arial" w:hAnsi="Arial" w:cs="Arial"/>
          <w:iCs/>
          <w:color w:val="000000"/>
          <w:sz w:val="24"/>
          <w:szCs w:val="24"/>
        </w:rPr>
        <w:t xml:space="preserve">pues </w:t>
      </w:r>
      <w:r w:rsidRPr="007B6D1E">
        <w:rPr>
          <w:rFonts w:ascii="Arial" w:hAnsi="Arial" w:cs="Arial"/>
          <w:iCs/>
          <w:color w:val="000000"/>
          <w:sz w:val="24"/>
          <w:szCs w:val="24"/>
        </w:rPr>
        <w:t>al controvertirse la resolución del recurso va implícito el análisis del acto originario. No se debe perder de vista,</w:t>
      </w:r>
      <w:r>
        <w:rPr>
          <w:rFonts w:ascii="Arial" w:hAnsi="Arial" w:cs="Arial"/>
          <w:iCs/>
          <w:color w:val="000000"/>
          <w:sz w:val="24"/>
          <w:szCs w:val="24"/>
        </w:rPr>
        <w:t xml:space="preserve"> que</w:t>
      </w:r>
      <w:r w:rsidRPr="007B6D1E">
        <w:rPr>
          <w:rFonts w:ascii="Arial" w:hAnsi="Arial" w:cs="Arial"/>
          <w:iCs/>
          <w:color w:val="000000"/>
          <w:sz w:val="24"/>
          <w:szCs w:val="24"/>
        </w:rPr>
        <w:t xml:space="preserve"> cuando los Juzgados Administrativos y las Salas del Tribunal de Justicia Administrativa entran a resolver el fondo del negocio, analizan los conceptos de impugnación y los motivos de la autoridad emisora del recurso impugnado, con la posibilidad de pronunciarse sobre la</w:t>
      </w:r>
      <w:r>
        <w:rPr>
          <w:rFonts w:ascii="Arial" w:hAnsi="Arial" w:cs="Arial"/>
          <w:iCs/>
          <w:color w:val="000000"/>
          <w:sz w:val="24"/>
          <w:szCs w:val="24"/>
        </w:rPr>
        <w:t xml:space="preserve"> resolución objeto del recurso tal y como lo establece el propio Código en su artículo 300, fracción IV</w:t>
      </w:r>
      <w:r w:rsidRPr="007B6D1E">
        <w:rPr>
          <w:rFonts w:ascii="Arial" w:hAnsi="Arial" w:cs="Arial"/>
          <w:iCs/>
          <w:color w:val="000000"/>
          <w:sz w:val="24"/>
          <w:szCs w:val="24"/>
        </w:rPr>
        <w:t>.</w:t>
      </w:r>
    </w:p>
    <w:p w14:paraId="2E46F608" w14:textId="77777777" w:rsidR="00FE32F4" w:rsidRPr="007B6D1E" w:rsidRDefault="00FE32F4" w:rsidP="00FE32F4">
      <w:pPr>
        <w:jc w:val="both"/>
        <w:rPr>
          <w:rFonts w:ascii="Arial" w:hAnsi="Arial" w:cs="Arial"/>
          <w:bCs/>
          <w:iCs/>
          <w:color w:val="000000"/>
          <w:sz w:val="24"/>
          <w:szCs w:val="24"/>
        </w:rPr>
      </w:pPr>
      <w:r>
        <w:rPr>
          <w:rFonts w:ascii="Arial" w:hAnsi="Arial" w:cs="Arial"/>
          <w:bCs/>
          <w:iCs/>
          <w:color w:val="000000"/>
          <w:sz w:val="24"/>
          <w:szCs w:val="24"/>
        </w:rPr>
        <w:t>De igual forma e</w:t>
      </w:r>
      <w:r w:rsidRPr="007B6D1E">
        <w:rPr>
          <w:rFonts w:ascii="Arial" w:hAnsi="Arial" w:cs="Arial"/>
          <w:bCs/>
          <w:iCs/>
          <w:color w:val="000000"/>
          <w:sz w:val="24"/>
          <w:szCs w:val="24"/>
        </w:rPr>
        <w:t>l segundo párrafo resulta ju</w:t>
      </w:r>
      <w:r>
        <w:rPr>
          <w:rFonts w:ascii="Arial" w:hAnsi="Arial" w:cs="Arial"/>
          <w:bCs/>
          <w:iCs/>
          <w:color w:val="000000"/>
          <w:sz w:val="24"/>
          <w:szCs w:val="24"/>
        </w:rPr>
        <w:t>rídicamente imposible de aplicación, toda vez que c</w:t>
      </w:r>
      <w:r w:rsidRPr="007B6D1E">
        <w:rPr>
          <w:rFonts w:ascii="Arial" w:hAnsi="Arial" w:cs="Arial"/>
          <w:bCs/>
          <w:iCs/>
          <w:color w:val="000000"/>
          <w:sz w:val="24"/>
          <w:szCs w:val="24"/>
        </w:rPr>
        <w:t>uando se promueve proceso administrativo en contra del acuerdo que tiene por no presentado o desechado el recurso de inconformidad, la materia del proceso será exclusivamente sobre el acuerdo recurrido</w:t>
      </w:r>
      <w:r>
        <w:rPr>
          <w:rFonts w:ascii="Arial" w:hAnsi="Arial" w:cs="Arial"/>
          <w:bCs/>
          <w:iCs/>
          <w:color w:val="000000"/>
          <w:sz w:val="24"/>
          <w:szCs w:val="24"/>
        </w:rPr>
        <w:t xml:space="preserve"> de conformidad al artículo 298 del Código que se analiza, por lo que, en su caso, debió considerarse reforma al mismo para lograr el objetivo que se desprende en su exposición de motivos</w:t>
      </w:r>
      <w:r w:rsidRPr="007B6D1E">
        <w:rPr>
          <w:rFonts w:ascii="Arial" w:hAnsi="Arial" w:cs="Arial"/>
          <w:bCs/>
          <w:iCs/>
          <w:color w:val="000000"/>
          <w:sz w:val="24"/>
          <w:szCs w:val="24"/>
        </w:rPr>
        <w:t>.</w:t>
      </w:r>
    </w:p>
    <w:p w14:paraId="73595ADC" w14:textId="77777777" w:rsidR="00FE32F4" w:rsidRPr="006E753C" w:rsidRDefault="00FE32F4" w:rsidP="00FE32F4">
      <w:pPr>
        <w:jc w:val="both"/>
        <w:rPr>
          <w:rFonts w:ascii="Arial" w:hAnsi="Arial" w:cs="Arial"/>
          <w:sz w:val="24"/>
          <w:szCs w:val="24"/>
        </w:rPr>
      </w:pPr>
      <w:r>
        <w:rPr>
          <w:rFonts w:ascii="Arial" w:hAnsi="Arial" w:cs="Arial"/>
          <w:sz w:val="24"/>
          <w:szCs w:val="24"/>
        </w:rPr>
        <w:t>En ese orden de ideas e</w:t>
      </w:r>
      <w:r w:rsidRPr="007B6D1E">
        <w:rPr>
          <w:rFonts w:ascii="Arial" w:hAnsi="Arial" w:cs="Arial"/>
          <w:sz w:val="24"/>
          <w:szCs w:val="24"/>
        </w:rPr>
        <w:t>l tercer párrafo, resulta ocioso incluirlo en el Código porque si el actor se desiste del Recurso de Inconformidad e impugna ante autoridad jurisdiccional, la materia del proceso será el acto o resolución materia del recurso que se pretendía promover. Es en el proceso donde se podrán hacer valer conceptos de impugnación distintos o adicionales a los agravios expresados en el Recurso de Inconformidad; considerando también que el párrafo en cuestión sería repetitivo, al estar previsto en el artículo 266, segundo párrafo.</w:t>
      </w:r>
    </w:p>
    <w:p w14:paraId="45FF8E7A" w14:textId="77777777" w:rsidR="00FE32F4" w:rsidRPr="007B6D1E" w:rsidRDefault="00FE32F4" w:rsidP="00FE32F4">
      <w:pPr>
        <w:jc w:val="both"/>
        <w:rPr>
          <w:rFonts w:ascii="Arial" w:hAnsi="Arial" w:cs="Arial"/>
          <w:iCs/>
          <w:color w:val="000000"/>
          <w:sz w:val="24"/>
          <w:szCs w:val="24"/>
        </w:rPr>
      </w:pPr>
      <w:r>
        <w:rPr>
          <w:rFonts w:ascii="Arial" w:hAnsi="Arial" w:cs="Arial"/>
          <w:iCs/>
          <w:color w:val="000000"/>
          <w:sz w:val="24"/>
          <w:szCs w:val="24"/>
        </w:rPr>
        <w:t xml:space="preserve">Por otra parte, la iniciativa pierde de vista que </w:t>
      </w:r>
      <w:r w:rsidRPr="007B6D1E">
        <w:rPr>
          <w:rFonts w:ascii="Arial" w:hAnsi="Arial" w:cs="Arial"/>
          <w:iCs/>
          <w:color w:val="000000"/>
          <w:sz w:val="24"/>
          <w:szCs w:val="24"/>
        </w:rPr>
        <w:t xml:space="preserve">la Justicia Administrativa en nuestro Estado de Guanajuato se encuentra a cargo de las Salas Unitarias del Tribunal de Justicia Administrativa y de los Jueces Administrativos Municipales, donde no </w:t>
      </w:r>
      <w:r>
        <w:rPr>
          <w:rFonts w:ascii="Arial" w:hAnsi="Arial" w:cs="Arial"/>
          <w:iCs/>
          <w:color w:val="000000"/>
          <w:sz w:val="24"/>
          <w:szCs w:val="24"/>
        </w:rPr>
        <w:t xml:space="preserve">existe </w:t>
      </w:r>
      <w:r w:rsidRPr="007B6D1E">
        <w:rPr>
          <w:rFonts w:ascii="Arial" w:hAnsi="Arial" w:cs="Arial"/>
          <w:iCs/>
          <w:color w:val="000000"/>
          <w:sz w:val="24"/>
          <w:szCs w:val="24"/>
        </w:rPr>
        <w:t xml:space="preserve">la figura de </w:t>
      </w:r>
      <w:r w:rsidRPr="007B6D1E">
        <w:rPr>
          <w:rFonts w:ascii="Arial" w:hAnsi="Arial" w:cs="Arial"/>
          <w:i/>
          <w:iCs/>
          <w:color w:val="000000"/>
          <w:sz w:val="24"/>
          <w:szCs w:val="24"/>
        </w:rPr>
        <w:t>“Magistrado Instructor”</w:t>
      </w:r>
      <w:r w:rsidRPr="007B6D1E">
        <w:rPr>
          <w:rFonts w:ascii="Arial" w:hAnsi="Arial" w:cs="Arial"/>
          <w:iCs/>
          <w:color w:val="000000"/>
          <w:sz w:val="24"/>
          <w:szCs w:val="24"/>
        </w:rPr>
        <w:t xml:space="preserve"> </w:t>
      </w:r>
      <w:r>
        <w:rPr>
          <w:rFonts w:ascii="Arial" w:hAnsi="Arial" w:cs="Arial"/>
          <w:iCs/>
          <w:color w:val="000000"/>
          <w:sz w:val="24"/>
          <w:szCs w:val="24"/>
        </w:rPr>
        <w:t xml:space="preserve">que es </w:t>
      </w:r>
      <w:r w:rsidRPr="007B6D1E">
        <w:rPr>
          <w:rFonts w:ascii="Arial" w:hAnsi="Arial" w:cs="Arial"/>
          <w:iCs/>
          <w:color w:val="000000"/>
          <w:sz w:val="24"/>
          <w:szCs w:val="24"/>
        </w:rPr>
        <w:t>propia de las Salas del Tribunal Federal de Justicia Administrativa.</w:t>
      </w:r>
    </w:p>
    <w:p w14:paraId="7809AF2A" w14:textId="77777777" w:rsidR="00FE32F4" w:rsidRDefault="00FE32F4" w:rsidP="00FE32F4">
      <w:pPr>
        <w:jc w:val="both"/>
        <w:rPr>
          <w:rFonts w:ascii="Arial" w:hAnsi="Arial" w:cs="Arial"/>
          <w:iCs/>
          <w:color w:val="000000"/>
          <w:sz w:val="24"/>
          <w:szCs w:val="24"/>
        </w:rPr>
      </w:pPr>
      <w:r>
        <w:rPr>
          <w:rFonts w:ascii="Arial" w:hAnsi="Arial" w:cs="Arial"/>
          <w:iCs/>
          <w:color w:val="000000"/>
          <w:sz w:val="24"/>
          <w:szCs w:val="24"/>
        </w:rPr>
        <w:t xml:space="preserve">De igual forma, del texto propuesto se desprende la exclusión de </w:t>
      </w:r>
      <w:r w:rsidRPr="007B6D1E">
        <w:rPr>
          <w:rFonts w:ascii="Arial" w:hAnsi="Arial" w:cs="Arial"/>
          <w:iCs/>
          <w:color w:val="000000"/>
          <w:sz w:val="24"/>
          <w:szCs w:val="24"/>
        </w:rPr>
        <w:t xml:space="preserve">los Juzgados Administrativos Municipales para conocer de las resoluciones dictadas por las Autoridades Municipales, al resolver el recurso de inconformidad, </w:t>
      </w:r>
      <w:r>
        <w:rPr>
          <w:rFonts w:ascii="Arial" w:hAnsi="Arial" w:cs="Arial"/>
          <w:iCs/>
          <w:color w:val="000000"/>
          <w:sz w:val="24"/>
          <w:szCs w:val="24"/>
        </w:rPr>
        <w:t xml:space="preserve">sin embargo, se considera que dicho </w:t>
      </w:r>
      <w:r w:rsidRPr="007B6D1E">
        <w:rPr>
          <w:rFonts w:ascii="Arial" w:hAnsi="Arial" w:cs="Arial"/>
          <w:iCs/>
          <w:color w:val="000000"/>
          <w:sz w:val="24"/>
          <w:szCs w:val="24"/>
        </w:rPr>
        <w:t xml:space="preserve">supuesto normativo es contrario al </w:t>
      </w:r>
      <w:r>
        <w:rPr>
          <w:rFonts w:ascii="Arial" w:hAnsi="Arial" w:cs="Arial"/>
          <w:iCs/>
          <w:color w:val="000000"/>
          <w:sz w:val="24"/>
          <w:szCs w:val="24"/>
        </w:rPr>
        <w:t xml:space="preserve">segundo párrafo del artículo 243 de </w:t>
      </w:r>
      <w:r w:rsidRPr="007B6D1E">
        <w:rPr>
          <w:rFonts w:ascii="Arial" w:hAnsi="Arial" w:cs="Arial"/>
          <w:iCs/>
          <w:color w:val="000000"/>
          <w:sz w:val="24"/>
          <w:szCs w:val="24"/>
        </w:rPr>
        <w:t xml:space="preserve">la Ley Orgánica Municipal </w:t>
      </w:r>
      <w:r>
        <w:rPr>
          <w:rFonts w:ascii="Arial" w:hAnsi="Arial" w:cs="Arial"/>
          <w:iCs/>
          <w:color w:val="000000"/>
          <w:sz w:val="24"/>
          <w:szCs w:val="24"/>
        </w:rPr>
        <w:t>para el Estado de Guanajuato</w:t>
      </w:r>
      <w:r w:rsidRPr="007B6D1E">
        <w:rPr>
          <w:rFonts w:ascii="Arial" w:hAnsi="Arial" w:cs="Arial"/>
          <w:iCs/>
          <w:color w:val="000000"/>
          <w:sz w:val="24"/>
          <w:szCs w:val="24"/>
        </w:rPr>
        <w:t>.</w:t>
      </w:r>
    </w:p>
    <w:p w14:paraId="2691DE16" w14:textId="77777777" w:rsidR="00FE32F4" w:rsidRDefault="00FE32F4" w:rsidP="00FE32F4">
      <w:pPr>
        <w:spacing w:after="0"/>
        <w:jc w:val="both"/>
        <w:rPr>
          <w:rFonts w:ascii="Arial" w:hAnsi="Arial" w:cs="Arial"/>
        </w:rPr>
      </w:pPr>
      <w:r>
        <w:rPr>
          <w:rFonts w:ascii="Arial" w:hAnsi="Arial" w:cs="Arial"/>
          <w:sz w:val="24"/>
          <w:szCs w:val="24"/>
        </w:rPr>
        <w:lastRenderedPageBreak/>
        <w:t xml:space="preserve">Por último, se considera que existen criterios de la Suprema Corte de Justicia de la Nación que refieren que </w:t>
      </w:r>
      <w:r w:rsidRPr="007C6EBD">
        <w:rPr>
          <w:rFonts w:ascii="Arial" w:hAnsi="Arial" w:cs="Arial"/>
          <w:color w:val="000000"/>
          <w:sz w:val="24"/>
          <w:szCs w:val="24"/>
        </w:rPr>
        <w:t>la aplicación de los supuestos y efectos de la</w:t>
      </w:r>
      <w:r>
        <w:rPr>
          <w:rFonts w:ascii="Arial" w:hAnsi="Arial" w:cs="Arial"/>
          <w:color w:val="000000"/>
          <w:sz w:val="24"/>
          <w:szCs w:val="24"/>
        </w:rPr>
        <w:t xml:space="preserve"> litis abierta </w:t>
      </w:r>
      <w:r w:rsidRPr="007C6EBD">
        <w:rPr>
          <w:rFonts w:ascii="Arial" w:hAnsi="Arial" w:cs="Arial"/>
          <w:color w:val="000000"/>
          <w:sz w:val="24"/>
          <w:szCs w:val="24"/>
        </w:rPr>
        <w:t>a un procedimiento de</w:t>
      </w:r>
      <w:r>
        <w:rPr>
          <w:rFonts w:ascii="Arial" w:hAnsi="Arial" w:cs="Arial"/>
          <w:color w:val="000000"/>
          <w:sz w:val="24"/>
          <w:szCs w:val="24"/>
        </w:rPr>
        <w:t xml:space="preserve"> litis</w:t>
      </w:r>
      <w:r w:rsidRPr="007C6EBD">
        <w:rPr>
          <w:rFonts w:ascii="Arial" w:hAnsi="Arial" w:cs="Arial"/>
          <w:color w:val="000000"/>
          <w:sz w:val="24"/>
          <w:szCs w:val="24"/>
        </w:rPr>
        <w:t xml:space="preserve"> cerrada</w:t>
      </w:r>
      <w:r>
        <w:rPr>
          <w:rFonts w:ascii="Arial" w:hAnsi="Arial" w:cs="Arial"/>
          <w:color w:val="000000"/>
          <w:sz w:val="24"/>
          <w:szCs w:val="24"/>
        </w:rPr>
        <w:t xml:space="preserve"> en el Estado de Guanajuato</w:t>
      </w:r>
      <w:r w:rsidRPr="007C6EBD">
        <w:rPr>
          <w:rFonts w:ascii="Arial" w:hAnsi="Arial" w:cs="Arial"/>
          <w:color w:val="000000"/>
          <w:sz w:val="24"/>
          <w:szCs w:val="24"/>
        </w:rPr>
        <w:t>, conllevaría que se desvirtúen los principios de preclusión y definitividad propios de este último, ya que el órgano jurisdiccional estaría obligado a estudiar lo que el actor adujera en su demanda, aun cuando no lo hubiera planteado en el recurso ordinario, con afectación también del principio de paridad procesal, ya que tendría que atender, sin limitaciones, la extensa defensa del demandante</w:t>
      </w:r>
      <w:r w:rsidRPr="007C6EBD">
        <w:rPr>
          <w:rFonts w:ascii="Arial" w:hAnsi="Arial" w:cs="Arial"/>
          <w:color w:val="000000"/>
        </w:rPr>
        <w:t xml:space="preserve">. </w:t>
      </w:r>
      <w:r w:rsidRPr="007C6EBD">
        <w:rPr>
          <w:rFonts w:ascii="Arial" w:hAnsi="Arial" w:cs="Arial"/>
          <w:i/>
          <w:color w:val="000000"/>
        </w:rPr>
        <w:t>-</w:t>
      </w:r>
      <w:r w:rsidRPr="007C6EBD">
        <w:rPr>
          <w:rFonts w:ascii="Arial" w:hAnsi="Arial" w:cs="Arial"/>
          <w:bCs/>
          <w:i/>
        </w:rPr>
        <w:t xml:space="preserve"> Registro No.</w:t>
      </w:r>
      <w:r w:rsidRPr="007C6EBD">
        <w:rPr>
          <w:rFonts w:ascii="Arial" w:hAnsi="Arial" w:cs="Arial"/>
          <w:i/>
        </w:rPr>
        <w:t> </w:t>
      </w:r>
      <w:r w:rsidRPr="007C6EBD">
        <w:rPr>
          <w:rStyle w:val="visitado"/>
          <w:rFonts w:ascii="Arial" w:hAnsi="Arial" w:cs="Arial"/>
          <w:bCs/>
          <w:i/>
        </w:rPr>
        <w:t xml:space="preserve">2 021 748 </w:t>
      </w:r>
      <w:hyperlink r:id="rId7" w:tgtFrame="_self" w:history="1">
        <w:r w:rsidRPr="007C6EBD">
          <w:rPr>
            <w:rStyle w:val="Hipervnculo"/>
            <w:rFonts w:ascii="Arial" w:hAnsi="Arial" w:cs="Arial"/>
            <w:bCs/>
            <w:i/>
          </w:rPr>
          <w:t>JUICIO CONTENCIOSO ADMINISTRATIVO EN EL ESTADO DE GUANAJUATO. LE SON INAPLICABLES LOS SUPUESTOS Y EFECTOS DE LA LITIS ABIERTA PROPIOS DEL JUICIO DE NULIDAD EN EL ÁMBITO FEDERAL, AL REGIRSE POR EL SISTEMA DE LITIS CERRADA.</w:t>
        </w:r>
      </w:hyperlink>
      <w:r w:rsidRPr="007C6EBD">
        <w:rPr>
          <w:rFonts w:ascii="Arial" w:hAnsi="Arial" w:cs="Arial"/>
          <w:bCs/>
          <w:i/>
        </w:rPr>
        <w:t xml:space="preserve"> Localización: </w:t>
      </w:r>
      <w:r w:rsidRPr="007C6EBD">
        <w:rPr>
          <w:rFonts w:ascii="Arial" w:hAnsi="Arial" w:cs="Arial"/>
          <w:i/>
        </w:rPr>
        <w:t>[TA]; 10a. Época; T.C.C.; Gaceta S.J.F.; Libro 76, Marzo de 2020; Tomo II; Pág. 935. </w:t>
      </w:r>
      <w:r w:rsidRPr="007C6EBD">
        <w:rPr>
          <w:rFonts w:ascii="Arial" w:hAnsi="Arial" w:cs="Arial"/>
          <w:bCs/>
          <w:i/>
        </w:rPr>
        <w:t>XVI.1o.A.198 A (10a.).</w:t>
      </w:r>
    </w:p>
    <w:p w14:paraId="4501C756" w14:textId="77777777" w:rsidR="000F304D" w:rsidRDefault="000F304D" w:rsidP="00743FAD">
      <w:pPr>
        <w:spacing w:line="240" w:lineRule="auto"/>
      </w:pPr>
    </w:p>
    <w:sectPr w:rsidR="000F304D">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711D53" w14:textId="77777777" w:rsidR="00D00104" w:rsidRDefault="00D00104" w:rsidP="00743FAD">
      <w:pPr>
        <w:spacing w:after="0" w:line="240" w:lineRule="auto"/>
      </w:pPr>
      <w:r>
        <w:separator/>
      </w:r>
    </w:p>
  </w:endnote>
  <w:endnote w:type="continuationSeparator" w:id="0">
    <w:p w14:paraId="3BDC09B1" w14:textId="77777777" w:rsidR="00D00104" w:rsidRDefault="00D00104" w:rsidP="00743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FED4E" w14:textId="77777777" w:rsidR="00743FAD" w:rsidRPr="000B79EB" w:rsidRDefault="00743FAD" w:rsidP="00743FAD">
    <w:pPr>
      <w:pStyle w:val="Sangra3detindependiente"/>
      <w:ind w:left="0"/>
      <w:jc w:val="both"/>
      <w:rPr>
        <w:rFonts w:ascii="Arial" w:hAnsi="Arial" w:cs="Arial"/>
        <w:sz w:val="14"/>
        <w:szCs w:val="14"/>
      </w:rPr>
    </w:pPr>
    <w:r w:rsidRPr="000B79EB">
      <w:rPr>
        <w:rFonts w:ascii="Arial" w:hAnsi="Arial" w:cs="Arial"/>
        <w:sz w:val="14"/>
        <w:szCs w:val="14"/>
      </w:rPr>
      <w:t>La presente foja forma parte del dictamen mediante el</w:t>
    </w:r>
    <w:r>
      <w:rPr>
        <w:rFonts w:ascii="Arial" w:hAnsi="Arial" w:cs="Arial"/>
        <w:sz w:val="14"/>
        <w:szCs w:val="14"/>
      </w:rPr>
      <w:t xml:space="preserve"> cual se envía la respuesta a la </w:t>
    </w:r>
    <w:r w:rsidRPr="00743FAD">
      <w:rPr>
        <w:rFonts w:ascii="Arial" w:hAnsi="Arial" w:cs="Arial"/>
        <w:sz w:val="14"/>
        <w:szCs w:val="14"/>
      </w:rPr>
      <w:t>iniciativa por la que se adiciona un artículo 266 Bis al Código de Procedimiento y Justicia Administrativa para el Estado y los Municipios de Guanajuato</w:t>
    </w:r>
    <w:r>
      <w:rPr>
        <w:rFonts w:ascii="Arial" w:hAnsi="Arial" w:cs="Arial"/>
        <w:sz w:val="14"/>
        <w:szCs w:val="14"/>
      </w:rPr>
      <w:t>.</w:t>
    </w:r>
  </w:p>
  <w:p w14:paraId="050FAB0C" w14:textId="77777777" w:rsidR="00743FAD" w:rsidRPr="00743FAD" w:rsidRDefault="00743FAD">
    <w:pPr>
      <w:pStyle w:val="Piedepgina"/>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38AFC5" w14:textId="77777777" w:rsidR="00D00104" w:rsidRDefault="00D00104" w:rsidP="00743FAD">
      <w:pPr>
        <w:spacing w:after="0" w:line="240" w:lineRule="auto"/>
      </w:pPr>
      <w:r>
        <w:separator/>
      </w:r>
    </w:p>
  </w:footnote>
  <w:footnote w:type="continuationSeparator" w:id="0">
    <w:p w14:paraId="184A4B42" w14:textId="77777777" w:rsidR="00D00104" w:rsidRDefault="00D00104" w:rsidP="00743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97784" w14:textId="77777777" w:rsidR="00743FAD" w:rsidRDefault="00743FAD" w:rsidP="00743FAD">
    <w:pPr>
      <w:pStyle w:val="Encabezado"/>
      <w:jc w:val="right"/>
    </w:pPr>
    <w:r>
      <w:rPr>
        <w:noProof/>
        <w:lang w:eastAsia="es-MX"/>
      </w:rPr>
      <w:drawing>
        <wp:inline distT="0" distB="0" distL="0" distR="0" wp14:anchorId="1B5A78C6" wp14:editId="78D7F72D">
          <wp:extent cx="1171575" cy="74777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BLANCO Y NEGRO.jpeg"/>
                  <pic:cNvPicPr/>
                </pic:nvPicPr>
                <pic:blipFill>
                  <a:blip r:embed="rId1">
                    <a:extLst>
                      <a:ext uri="{28A0092B-C50C-407E-A947-70E740481C1C}">
                        <a14:useLocalDpi xmlns:a14="http://schemas.microsoft.com/office/drawing/2010/main" val="0"/>
                      </a:ext>
                    </a:extLst>
                  </a:blip>
                  <a:stretch>
                    <a:fillRect/>
                  </a:stretch>
                </pic:blipFill>
                <pic:spPr>
                  <a:xfrm>
                    <a:off x="0" y="0"/>
                    <a:ext cx="1189431" cy="7591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F24866"/>
    <w:multiLevelType w:val="hybridMultilevel"/>
    <w:tmpl w:val="59C679D8"/>
    <w:lvl w:ilvl="0" w:tplc="080A0017">
      <w:start w:val="1"/>
      <w:numFmt w:val="lowerLetter"/>
      <w:lvlText w:val="%1)"/>
      <w:lvlJc w:val="left"/>
      <w:pPr>
        <w:ind w:left="1353" w:hanging="360"/>
      </w:pPr>
      <w:rPr>
        <w:rFonts w:hint="default"/>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38BB18F1"/>
    <w:multiLevelType w:val="hybridMultilevel"/>
    <w:tmpl w:val="0C92A5F4"/>
    <w:lvl w:ilvl="0" w:tplc="080A000F">
      <w:start w:val="1"/>
      <w:numFmt w:val="decimal"/>
      <w:lvlText w:val="%1."/>
      <w:lvlJc w:val="left"/>
      <w:pPr>
        <w:ind w:left="720" w:hanging="360"/>
      </w:pPr>
    </w:lvl>
    <w:lvl w:ilvl="1" w:tplc="71F2F2FE">
      <w:start w:val="1"/>
      <w:numFmt w:val="lowerLetter"/>
      <w:lvlText w:val="%2."/>
      <w:lvlJc w:val="left"/>
      <w:pPr>
        <w:ind w:left="1440" w:hanging="360"/>
      </w:pPr>
      <w:rPr>
        <w:rFonts w:hint="default"/>
        <w:color w:val="222222"/>
        <w:sz w:val="22"/>
      </w:rPr>
    </w:lvl>
    <w:lvl w:ilvl="2" w:tplc="080A0017">
      <w:start w:val="1"/>
      <w:numFmt w:val="lowerLetter"/>
      <w:lvlText w:val="%3)"/>
      <w:lvlJc w:val="left"/>
      <w:pPr>
        <w:ind w:left="2160" w:hanging="180"/>
      </w:pPr>
    </w:lvl>
    <w:lvl w:ilvl="3" w:tplc="E69EFD2E">
      <w:start w:val="1"/>
      <w:numFmt w:val="upperLetter"/>
      <w:lvlText w:val="%4."/>
      <w:lvlJc w:val="left"/>
      <w:pPr>
        <w:ind w:left="2880" w:hanging="360"/>
      </w:pPr>
      <w:rPr>
        <w:rFonts w:hint="default"/>
        <w:b/>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3CD15BE"/>
    <w:multiLevelType w:val="hybridMultilevel"/>
    <w:tmpl w:val="8AC6773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16C"/>
    <w:rsid w:val="00013AA3"/>
    <w:rsid w:val="000373E0"/>
    <w:rsid w:val="000A76C2"/>
    <w:rsid w:val="000F304D"/>
    <w:rsid w:val="004C5D97"/>
    <w:rsid w:val="00743FAD"/>
    <w:rsid w:val="00B1716C"/>
    <w:rsid w:val="00C2088A"/>
    <w:rsid w:val="00D00104"/>
    <w:rsid w:val="00EE26CC"/>
    <w:rsid w:val="00F446E8"/>
    <w:rsid w:val="00FE32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D257EE"/>
  <w15:chartTrackingRefBased/>
  <w15:docId w15:val="{DCFE8349-9146-40F5-B440-C602ABE3F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3E0"/>
    <w:pPr>
      <w:spacing w:after="200" w:line="276" w:lineRule="auto"/>
    </w:pPr>
  </w:style>
  <w:style w:type="paragraph" w:styleId="Ttulo2">
    <w:name w:val="heading 2"/>
    <w:basedOn w:val="Normal"/>
    <w:next w:val="Normal"/>
    <w:link w:val="Ttulo2Car"/>
    <w:uiPriority w:val="9"/>
    <w:unhideWhenUsed/>
    <w:qFormat/>
    <w:rsid w:val="000373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0373E0"/>
    <w:rPr>
      <w:rFonts w:asciiTheme="majorHAnsi" w:eastAsiaTheme="majorEastAsia" w:hAnsiTheme="majorHAnsi" w:cstheme="majorBidi"/>
      <w:color w:val="2E74B5" w:themeColor="accent1" w:themeShade="BF"/>
      <w:sz w:val="26"/>
      <w:szCs w:val="26"/>
    </w:rPr>
  </w:style>
  <w:style w:type="paragraph" w:styleId="Prrafodelista">
    <w:name w:val="List Paragraph"/>
    <w:aliases w:val="viñeta,Párrafo de lista 2"/>
    <w:basedOn w:val="Normal"/>
    <w:link w:val="PrrafodelistaCar"/>
    <w:uiPriority w:val="34"/>
    <w:qFormat/>
    <w:rsid w:val="000373E0"/>
    <w:pPr>
      <w:ind w:left="720"/>
      <w:contextualSpacing/>
    </w:pPr>
  </w:style>
  <w:style w:type="paragraph" w:styleId="Textoindependiente3">
    <w:name w:val="Body Text 3"/>
    <w:basedOn w:val="Normal"/>
    <w:link w:val="Textoindependiente3Car"/>
    <w:uiPriority w:val="99"/>
    <w:unhideWhenUsed/>
    <w:rsid w:val="000373E0"/>
    <w:pPr>
      <w:spacing w:after="120"/>
    </w:pPr>
    <w:rPr>
      <w:sz w:val="16"/>
      <w:szCs w:val="16"/>
    </w:rPr>
  </w:style>
  <w:style w:type="character" w:customStyle="1" w:styleId="Textoindependiente3Car">
    <w:name w:val="Texto independiente 3 Car"/>
    <w:basedOn w:val="Fuentedeprrafopredeter"/>
    <w:link w:val="Textoindependiente3"/>
    <w:uiPriority w:val="99"/>
    <w:rsid w:val="000373E0"/>
    <w:rPr>
      <w:sz w:val="16"/>
      <w:szCs w:val="16"/>
    </w:rPr>
  </w:style>
  <w:style w:type="character" w:customStyle="1" w:styleId="PrrafodelistaCar">
    <w:name w:val="Párrafo de lista Car"/>
    <w:aliases w:val="viñeta Car,Párrafo de lista 2 Car"/>
    <w:link w:val="Prrafodelista"/>
    <w:uiPriority w:val="34"/>
    <w:locked/>
    <w:rsid w:val="000373E0"/>
  </w:style>
  <w:style w:type="paragraph" w:customStyle="1" w:styleId="Default">
    <w:name w:val="Default"/>
    <w:rsid w:val="000373E0"/>
    <w:pPr>
      <w:autoSpaceDE w:val="0"/>
      <w:autoSpaceDN w:val="0"/>
      <w:adjustRightInd w:val="0"/>
      <w:spacing w:after="0" w:line="240" w:lineRule="auto"/>
    </w:pPr>
    <w:rPr>
      <w:rFonts w:ascii="Arial" w:eastAsia="Calibri" w:hAnsi="Arial" w:cs="Arial"/>
      <w:color w:val="000000"/>
      <w:sz w:val="24"/>
      <w:szCs w:val="24"/>
    </w:rPr>
  </w:style>
  <w:style w:type="paragraph" w:styleId="Encabezado">
    <w:name w:val="header"/>
    <w:basedOn w:val="Normal"/>
    <w:link w:val="EncabezadoCar"/>
    <w:uiPriority w:val="99"/>
    <w:unhideWhenUsed/>
    <w:rsid w:val="00743F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43FAD"/>
  </w:style>
  <w:style w:type="paragraph" w:styleId="Piedepgina">
    <w:name w:val="footer"/>
    <w:basedOn w:val="Normal"/>
    <w:link w:val="PiedepginaCar"/>
    <w:uiPriority w:val="99"/>
    <w:unhideWhenUsed/>
    <w:rsid w:val="00743F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43FAD"/>
  </w:style>
  <w:style w:type="paragraph" w:styleId="Sangra3detindependiente">
    <w:name w:val="Body Text Indent 3"/>
    <w:basedOn w:val="Normal"/>
    <w:link w:val="Sangra3detindependienteCar"/>
    <w:uiPriority w:val="99"/>
    <w:semiHidden/>
    <w:unhideWhenUsed/>
    <w:rsid w:val="00743FA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743FAD"/>
    <w:rPr>
      <w:sz w:val="16"/>
      <w:szCs w:val="16"/>
    </w:rPr>
  </w:style>
  <w:style w:type="character" w:styleId="Hipervnculo">
    <w:name w:val="Hyperlink"/>
    <w:basedOn w:val="Fuentedeprrafopredeter"/>
    <w:uiPriority w:val="99"/>
    <w:semiHidden/>
    <w:unhideWhenUsed/>
    <w:rsid w:val="00FE32F4"/>
    <w:rPr>
      <w:color w:val="0000FF"/>
      <w:u w:val="single"/>
    </w:rPr>
  </w:style>
  <w:style w:type="character" w:customStyle="1" w:styleId="visitado">
    <w:name w:val="visitado"/>
    <w:basedOn w:val="Fuentedeprrafopredeter"/>
    <w:rsid w:val="00FE32F4"/>
  </w:style>
  <w:style w:type="paragraph" w:styleId="Textodeglobo">
    <w:name w:val="Balloon Text"/>
    <w:basedOn w:val="Normal"/>
    <w:link w:val="TextodegloboCar"/>
    <w:uiPriority w:val="99"/>
    <w:semiHidden/>
    <w:unhideWhenUsed/>
    <w:rsid w:val="00FE32F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32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jf.scjn.gob.mx/sjfsist/paginas/DetalleGeneralV2.aspx?ID=2021748&amp;Clase=DetalleTesisBL&amp;Semanario=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1405</Words>
  <Characters>7730</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Alejandra Rodriguez Vazquez</dc:creator>
  <cp:keywords/>
  <dc:description/>
  <cp:lastModifiedBy>Karina Vázquez Lugo</cp:lastModifiedBy>
  <cp:revision>2</cp:revision>
  <cp:lastPrinted>2020-08-18T18:37:00Z</cp:lastPrinted>
  <dcterms:created xsi:type="dcterms:W3CDTF">2020-08-19T20:13:00Z</dcterms:created>
  <dcterms:modified xsi:type="dcterms:W3CDTF">2020-08-19T20:13:00Z</dcterms:modified>
</cp:coreProperties>
</file>