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777D09" w:rsidRDefault="00181A71" w:rsidP="00777D09">
      <w:pPr>
        <w:pStyle w:val="Ttulo2"/>
        <w:spacing w:before="0"/>
        <w:jc w:val="both"/>
        <w:rPr>
          <w:rFonts w:ascii="Arial" w:hAnsi="Arial" w:cs="Arial"/>
          <w:b/>
          <w:color w:val="auto"/>
          <w:sz w:val="25"/>
          <w:szCs w:val="25"/>
        </w:rPr>
      </w:pPr>
      <w:r w:rsidRPr="00777D09">
        <w:rPr>
          <w:rFonts w:ascii="Arial" w:hAnsi="Arial" w:cs="Arial"/>
          <w:b/>
          <w:color w:val="auto"/>
          <w:sz w:val="25"/>
          <w:szCs w:val="25"/>
        </w:rPr>
        <w:t>H. AYUNTAMIENTO DE LEÓN, GUANAJUATO</w:t>
      </w:r>
    </w:p>
    <w:p w:rsidR="00181A71" w:rsidRPr="00777D09" w:rsidRDefault="00181A71" w:rsidP="00777D09">
      <w:pPr>
        <w:pStyle w:val="Ttulo2"/>
        <w:spacing w:before="0"/>
        <w:jc w:val="both"/>
        <w:rPr>
          <w:rFonts w:ascii="Arial" w:hAnsi="Arial" w:cs="Arial"/>
          <w:b/>
          <w:color w:val="auto"/>
          <w:sz w:val="25"/>
          <w:szCs w:val="25"/>
        </w:rPr>
      </w:pPr>
      <w:r w:rsidRPr="00777D09">
        <w:rPr>
          <w:rFonts w:ascii="Arial" w:hAnsi="Arial" w:cs="Arial"/>
          <w:b/>
          <w:color w:val="auto"/>
          <w:sz w:val="25"/>
          <w:szCs w:val="25"/>
        </w:rPr>
        <w:t>P R E S E N T E</w:t>
      </w:r>
    </w:p>
    <w:p w:rsidR="00181A71" w:rsidRPr="00777D09" w:rsidRDefault="00181A71" w:rsidP="00777D09">
      <w:pPr>
        <w:spacing w:after="0"/>
        <w:jc w:val="both"/>
        <w:rPr>
          <w:rFonts w:ascii="Arial" w:hAnsi="Arial" w:cs="Arial"/>
          <w:sz w:val="25"/>
          <w:szCs w:val="25"/>
        </w:rPr>
      </w:pPr>
    </w:p>
    <w:p w:rsidR="00181A71" w:rsidRPr="00777D09" w:rsidRDefault="00181A71" w:rsidP="00777D09">
      <w:pPr>
        <w:pStyle w:val="Ttulo2"/>
        <w:spacing w:before="0"/>
        <w:jc w:val="both"/>
        <w:rPr>
          <w:rFonts w:ascii="Arial" w:hAnsi="Arial" w:cs="Arial"/>
          <w:color w:val="auto"/>
          <w:sz w:val="25"/>
          <w:szCs w:val="25"/>
        </w:rPr>
      </w:pPr>
      <w:r w:rsidRPr="00777D09">
        <w:rPr>
          <w:rFonts w:ascii="Arial" w:hAnsi="Arial" w:cs="Arial"/>
          <w:color w:val="auto"/>
          <w:sz w:val="25"/>
          <w:szCs w:val="25"/>
        </w:rPr>
        <w:t xml:space="preserve">Quienes integramos la </w:t>
      </w:r>
      <w:r w:rsidRPr="00777D09">
        <w:rPr>
          <w:rFonts w:ascii="Arial" w:hAnsi="Arial" w:cs="Arial"/>
          <w:b/>
          <w:color w:val="auto"/>
          <w:sz w:val="25"/>
          <w:szCs w:val="25"/>
        </w:rPr>
        <w:t>Comisión de Gobi</w:t>
      </w:r>
      <w:r w:rsidRPr="00777D09">
        <w:rPr>
          <w:rFonts w:ascii="Arial" w:hAnsi="Arial" w:cs="Arial"/>
          <w:b/>
          <w:i/>
          <w:color w:val="auto"/>
          <w:sz w:val="25"/>
          <w:szCs w:val="25"/>
        </w:rPr>
        <w:t>e</w:t>
      </w:r>
      <w:r w:rsidRPr="00777D09">
        <w:rPr>
          <w:rFonts w:ascii="Arial" w:hAnsi="Arial" w:cs="Arial"/>
          <w:b/>
          <w:color w:val="auto"/>
          <w:sz w:val="25"/>
          <w:szCs w:val="25"/>
        </w:rPr>
        <w:t xml:space="preserve">rno, Seguridad Pública y Tránsito, </w:t>
      </w:r>
      <w:r w:rsidRPr="00777D09">
        <w:rPr>
          <w:rFonts w:ascii="Arial" w:hAnsi="Arial" w:cs="Arial"/>
          <w:color w:val="auto"/>
          <w:sz w:val="25"/>
          <w:szCs w:val="25"/>
        </w:rPr>
        <w:t xml:space="preserve">con fundamento en lo dispuesto por los artículos 81 de la Ley Orgánica Municipal para el Estado de Guanajuato; </w:t>
      </w:r>
      <w:r w:rsidR="00061270" w:rsidRPr="00777D09">
        <w:rPr>
          <w:rFonts w:ascii="Arial" w:hAnsi="Arial" w:cs="Arial"/>
          <w:color w:val="auto"/>
          <w:sz w:val="25"/>
          <w:szCs w:val="25"/>
        </w:rPr>
        <w:t>50</w:t>
      </w:r>
      <w:r w:rsidRPr="00777D09">
        <w:rPr>
          <w:rFonts w:ascii="Arial" w:hAnsi="Arial" w:cs="Arial"/>
          <w:color w:val="auto"/>
          <w:sz w:val="25"/>
          <w:szCs w:val="25"/>
        </w:rPr>
        <w:t xml:space="preserve">, </w:t>
      </w:r>
      <w:r w:rsidR="00061270" w:rsidRPr="00777D09">
        <w:rPr>
          <w:rFonts w:ascii="Arial" w:hAnsi="Arial" w:cs="Arial"/>
          <w:color w:val="auto"/>
          <w:sz w:val="25"/>
          <w:szCs w:val="25"/>
        </w:rPr>
        <w:t>70 y 7</w:t>
      </w:r>
      <w:r w:rsidRPr="00777D09">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rsidR="008D545B" w:rsidRPr="00777D09" w:rsidRDefault="008D545B" w:rsidP="00777D09">
      <w:pPr>
        <w:pStyle w:val="Textoindependiente3"/>
        <w:spacing w:after="0"/>
        <w:jc w:val="center"/>
        <w:rPr>
          <w:rFonts w:ascii="Arial" w:hAnsi="Arial" w:cs="Arial"/>
          <w:b/>
          <w:sz w:val="25"/>
          <w:szCs w:val="25"/>
        </w:rPr>
      </w:pPr>
    </w:p>
    <w:p w:rsidR="00533548" w:rsidRPr="00777D09" w:rsidRDefault="00181A71" w:rsidP="00777D09">
      <w:pPr>
        <w:pStyle w:val="Textoindependiente3"/>
        <w:spacing w:after="0"/>
        <w:jc w:val="center"/>
        <w:rPr>
          <w:rFonts w:ascii="Arial" w:hAnsi="Arial" w:cs="Arial"/>
          <w:b/>
          <w:sz w:val="25"/>
          <w:szCs w:val="25"/>
        </w:rPr>
      </w:pPr>
      <w:r w:rsidRPr="00777D09">
        <w:rPr>
          <w:rFonts w:ascii="Arial" w:hAnsi="Arial" w:cs="Arial"/>
          <w:b/>
          <w:sz w:val="25"/>
          <w:szCs w:val="25"/>
        </w:rPr>
        <w:t>CONSIDERACIONES</w:t>
      </w:r>
    </w:p>
    <w:p w:rsidR="00E81494" w:rsidRPr="00777D09" w:rsidRDefault="00E81494" w:rsidP="00777D09">
      <w:pPr>
        <w:pStyle w:val="Textoindependiente3"/>
        <w:spacing w:after="0"/>
        <w:jc w:val="center"/>
        <w:rPr>
          <w:rFonts w:ascii="Arial" w:hAnsi="Arial" w:cs="Arial"/>
          <w:b/>
          <w:sz w:val="25"/>
          <w:szCs w:val="25"/>
        </w:rPr>
      </w:pPr>
    </w:p>
    <w:p w:rsidR="00E40FC9" w:rsidRPr="00777D09" w:rsidRDefault="00181A71" w:rsidP="00777D09">
      <w:pPr>
        <w:pStyle w:val="Ttulo2"/>
        <w:numPr>
          <w:ilvl w:val="0"/>
          <w:numId w:val="5"/>
        </w:numPr>
        <w:tabs>
          <w:tab w:val="left" w:pos="709"/>
        </w:tabs>
        <w:spacing w:before="0"/>
        <w:ind w:left="0" w:firstLine="0"/>
        <w:jc w:val="both"/>
        <w:rPr>
          <w:rFonts w:ascii="Arial" w:hAnsi="Arial" w:cs="Arial"/>
          <w:color w:val="auto"/>
          <w:sz w:val="25"/>
          <w:szCs w:val="25"/>
          <w:lang w:val="es-ES"/>
        </w:rPr>
      </w:pPr>
      <w:r w:rsidRPr="00777D09">
        <w:rPr>
          <w:rFonts w:ascii="Arial" w:hAnsi="Arial" w:cs="Arial"/>
          <w:color w:val="auto"/>
          <w:sz w:val="25"/>
          <w:szCs w:val="25"/>
        </w:rPr>
        <w:t>Por acuerdo de la</w:t>
      </w:r>
      <w:r w:rsidR="00A53C4B">
        <w:rPr>
          <w:rFonts w:ascii="Arial" w:hAnsi="Arial" w:cs="Arial"/>
          <w:color w:val="auto"/>
          <w:sz w:val="25"/>
          <w:szCs w:val="25"/>
        </w:rPr>
        <w:t xml:space="preserve">s Comisión de Gobernación y Puntos Constitucionales </w:t>
      </w:r>
      <w:r w:rsidRPr="00777D09">
        <w:rPr>
          <w:rFonts w:ascii="Arial" w:hAnsi="Arial" w:cs="Arial"/>
          <w:color w:val="auto"/>
          <w:sz w:val="25"/>
          <w:szCs w:val="25"/>
        </w:rPr>
        <w:t xml:space="preserve">de la Sexagésima </w:t>
      </w:r>
      <w:r w:rsidR="00E16F01" w:rsidRPr="00777D09">
        <w:rPr>
          <w:rFonts w:ascii="Arial" w:hAnsi="Arial" w:cs="Arial"/>
          <w:color w:val="auto"/>
          <w:sz w:val="25"/>
          <w:szCs w:val="25"/>
        </w:rPr>
        <w:t xml:space="preserve">Cuarta </w:t>
      </w:r>
      <w:r w:rsidRPr="00777D09">
        <w:rPr>
          <w:rFonts w:ascii="Arial" w:hAnsi="Arial" w:cs="Arial"/>
          <w:color w:val="auto"/>
          <w:sz w:val="25"/>
          <w:szCs w:val="25"/>
        </w:rPr>
        <w:t xml:space="preserve">Legislatura del H. Congreso del Estado, </w:t>
      </w:r>
      <w:r w:rsidR="00BD0232" w:rsidRPr="00777D09">
        <w:rPr>
          <w:rFonts w:ascii="Arial" w:hAnsi="Arial" w:cs="Arial"/>
          <w:color w:val="auto"/>
          <w:sz w:val="25"/>
          <w:szCs w:val="25"/>
        </w:rPr>
        <w:t xml:space="preserve">se </w:t>
      </w:r>
      <w:r w:rsidRPr="00777D09">
        <w:rPr>
          <w:rFonts w:ascii="Arial" w:hAnsi="Arial" w:cs="Arial"/>
          <w:color w:val="auto"/>
          <w:sz w:val="25"/>
          <w:szCs w:val="25"/>
        </w:rPr>
        <w:t>remitió a este Ayu</w:t>
      </w:r>
      <w:r w:rsidR="00B8008B" w:rsidRPr="00777D09">
        <w:rPr>
          <w:rFonts w:ascii="Arial" w:hAnsi="Arial" w:cs="Arial"/>
          <w:color w:val="auto"/>
          <w:sz w:val="25"/>
          <w:szCs w:val="25"/>
        </w:rPr>
        <w:t>ntamiento la</w:t>
      </w:r>
      <w:r w:rsidRPr="00777D09">
        <w:rPr>
          <w:rFonts w:ascii="Arial" w:hAnsi="Arial" w:cs="Arial"/>
          <w:color w:val="auto"/>
          <w:sz w:val="25"/>
          <w:szCs w:val="25"/>
        </w:rPr>
        <w:t xml:space="preserve"> </w:t>
      </w:r>
      <w:r w:rsidR="00A53C4B">
        <w:rPr>
          <w:rFonts w:ascii="Arial" w:hAnsi="Arial" w:cs="Arial"/>
          <w:b/>
          <w:i/>
          <w:color w:val="auto"/>
          <w:sz w:val="25"/>
          <w:szCs w:val="25"/>
        </w:rPr>
        <w:t xml:space="preserve">iniciativa para </w:t>
      </w:r>
      <w:r w:rsidR="00BA611E">
        <w:rPr>
          <w:rFonts w:ascii="Arial" w:hAnsi="Arial" w:cs="Arial"/>
          <w:b/>
          <w:i/>
          <w:color w:val="auto"/>
          <w:sz w:val="25"/>
          <w:szCs w:val="25"/>
        </w:rPr>
        <w:t xml:space="preserve">reformar y </w:t>
      </w:r>
      <w:r w:rsidR="00A53C4B">
        <w:rPr>
          <w:rFonts w:ascii="Arial" w:hAnsi="Arial" w:cs="Arial"/>
          <w:b/>
          <w:i/>
          <w:color w:val="auto"/>
          <w:sz w:val="25"/>
          <w:szCs w:val="25"/>
        </w:rPr>
        <w:t xml:space="preserve">adicionar </w:t>
      </w:r>
      <w:r w:rsidR="00EB1BD8">
        <w:rPr>
          <w:rFonts w:ascii="Arial" w:hAnsi="Arial" w:cs="Arial"/>
          <w:b/>
          <w:i/>
          <w:color w:val="auto"/>
          <w:sz w:val="25"/>
          <w:szCs w:val="25"/>
        </w:rPr>
        <w:t>diversos artículos a la Ley de Responsabilidad Patrimonial</w:t>
      </w:r>
      <w:r w:rsidR="00BA611E">
        <w:rPr>
          <w:rFonts w:ascii="Arial" w:hAnsi="Arial" w:cs="Arial"/>
          <w:b/>
          <w:i/>
          <w:color w:val="auto"/>
          <w:sz w:val="25"/>
          <w:szCs w:val="25"/>
        </w:rPr>
        <w:t xml:space="preserve"> del Estado y los Municipios </w:t>
      </w:r>
      <w:r w:rsidR="001F4441">
        <w:rPr>
          <w:rFonts w:ascii="Arial" w:hAnsi="Arial" w:cs="Arial"/>
          <w:b/>
          <w:i/>
          <w:color w:val="auto"/>
          <w:sz w:val="25"/>
          <w:szCs w:val="25"/>
        </w:rPr>
        <w:t xml:space="preserve">de Guanajuato </w:t>
      </w:r>
      <w:bookmarkStart w:id="0" w:name="_GoBack"/>
      <w:bookmarkEnd w:id="0"/>
      <w:r w:rsidR="00BA611E">
        <w:rPr>
          <w:rFonts w:ascii="Arial" w:hAnsi="Arial" w:cs="Arial"/>
          <w:b/>
          <w:i/>
          <w:color w:val="auto"/>
          <w:sz w:val="25"/>
          <w:szCs w:val="25"/>
        </w:rPr>
        <w:t>y r</w:t>
      </w:r>
      <w:r w:rsidR="00EB1BD8">
        <w:rPr>
          <w:rFonts w:ascii="Arial" w:hAnsi="Arial" w:cs="Arial"/>
          <w:b/>
          <w:i/>
          <w:color w:val="auto"/>
          <w:sz w:val="25"/>
          <w:szCs w:val="25"/>
        </w:rPr>
        <w:t>eforma a la fracción III del artículo 25 de la Ley Orgánica del Tribunal de Justicia Administrativa del Estado de Guanajuato</w:t>
      </w:r>
      <w:r w:rsidR="00704D80" w:rsidRPr="00777D09">
        <w:rPr>
          <w:rFonts w:ascii="Arial" w:hAnsi="Arial" w:cs="Arial"/>
          <w:color w:val="auto"/>
          <w:sz w:val="25"/>
          <w:szCs w:val="25"/>
        </w:rPr>
        <w:t xml:space="preserve">, formulada por </w:t>
      </w:r>
      <w:r w:rsidR="009F0C35" w:rsidRPr="00777D09">
        <w:rPr>
          <w:rFonts w:ascii="Arial" w:hAnsi="Arial" w:cs="Arial"/>
          <w:color w:val="auto"/>
          <w:sz w:val="25"/>
          <w:szCs w:val="25"/>
        </w:rPr>
        <w:t xml:space="preserve">las y </w:t>
      </w:r>
      <w:r w:rsidR="009F0C35" w:rsidRPr="00777D09">
        <w:rPr>
          <w:rFonts w:ascii="Arial" w:hAnsi="Arial" w:cs="Arial"/>
          <w:color w:val="auto"/>
          <w:sz w:val="25"/>
          <w:szCs w:val="25"/>
          <w:lang w:val="es-ES"/>
        </w:rPr>
        <w:t>los diputados integrantes del Grupo Parlamentario del Partido Acción Nacional</w:t>
      </w:r>
      <w:r w:rsidR="002678A0" w:rsidRPr="00777D09">
        <w:rPr>
          <w:rFonts w:ascii="Arial" w:hAnsi="Arial" w:cs="Arial"/>
          <w:color w:val="auto"/>
          <w:sz w:val="25"/>
          <w:szCs w:val="25"/>
        </w:rPr>
        <w:t xml:space="preserve">, </w:t>
      </w:r>
      <w:r w:rsidRPr="00777D09">
        <w:rPr>
          <w:rFonts w:ascii="Arial" w:hAnsi="Arial" w:cs="Arial"/>
          <w:color w:val="auto"/>
          <w:sz w:val="25"/>
          <w:szCs w:val="25"/>
        </w:rPr>
        <w:t>a</w:t>
      </w:r>
      <w:r w:rsidRPr="00777D09">
        <w:rPr>
          <w:rFonts w:ascii="Arial" w:hAnsi="Arial" w:cs="Arial"/>
          <w:color w:val="auto"/>
          <w:sz w:val="25"/>
          <w:szCs w:val="25"/>
          <w:lang w:val="es-ES"/>
        </w:rPr>
        <w:t xml:space="preserve"> efecto de que como parte de la metodología aprobada se reciban </w:t>
      </w:r>
      <w:r w:rsidR="00B8008B" w:rsidRPr="00777D09">
        <w:rPr>
          <w:rFonts w:ascii="Arial" w:hAnsi="Arial" w:cs="Arial"/>
          <w:color w:val="auto"/>
          <w:sz w:val="25"/>
          <w:szCs w:val="25"/>
          <w:lang w:val="es-ES"/>
        </w:rPr>
        <w:t>observaciones y propuestas a la misma.</w:t>
      </w:r>
    </w:p>
    <w:p w:rsidR="00E40FC9" w:rsidRPr="00777D09" w:rsidRDefault="00E40FC9" w:rsidP="00777D09">
      <w:pPr>
        <w:spacing w:after="0"/>
        <w:rPr>
          <w:rFonts w:ascii="Arial" w:eastAsiaTheme="majorEastAsia" w:hAnsi="Arial" w:cs="Arial"/>
          <w:sz w:val="25"/>
          <w:szCs w:val="25"/>
          <w:lang w:val="es-ES"/>
        </w:rPr>
      </w:pPr>
    </w:p>
    <w:p w:rsidR="009F0C35" w:rsidRPr="00777D09" w:rsidRDefault="00B8008B" w:rsidP="00777D09">
      <w:pPr>
        <w:pStyle w:val="Prrafodelista"/>
        <w:numPr>
          <w:ilvl w:val="0"/>
          <w:numId w:val="5"/>
        </w:numPr>
        <w:ind w:left="0" w:firstLine="0"/>
        <w:jc w:val="both"/>
        <w:rPr>
          <w:rFonts w:ascii="Arial" w:eastAsiaTheme="majorEastAsia" w:hAnsi="Arial" w:cs="Arial"/>
          <w:sz w:val="25"/>
          <w:szCs w:val="25"/>
          <w:lang w:val="es"/>
        </w:rPr>
      </w:pPr>
      <w:r w:rsidRPr="00777D09">
        <w:rPr>
          <w:rFonts w:ascii="Arial" w:eastAsiaTheme="majorEastAsia" w:hAnsi="Arial" w:cs="Arial"/>
          <w:sz w:val="25"/>
          <w:szCs w:val="25"/>
          <w:lang w:val="es-ES"/>
        </w:rPr>
        <w:t xml:space="preserve">Dicha iniciativa, de acuerdo a su </w:t>
      </w:r>
      <w:r w:rsidR="00CC063F" w:rsidRPr="00777D09">
        <w:rPr>
          <w:rFonts w:ascii="Arial" w:eastAsiaTheme="majorEastAsia" w:hAnsi="Arial" w:cs="Arial"/>
          <w:sz w:val="25"/>
          <w:szCs w:val="25"/>
          <w:lang w:val="es-ES"/>
        </w:rPr>
        <w:t xml:space="preserve">exposición de motivos, </w:t>
      </w:r>
      <w:r w:rsidR="008C6987" w:rsidRPr="00777D09">
        <w:rPr>
          <w:rFonts w:ascii="Arial" w:eastAsiaTheme="majorEastAsia" w:hAnsi="Arial" w:cs="Arial"/>
          <w:sz w:val="25"/>
          <w:szCs w:val="25"/>
          <w:lang w:val="es-ES"/>
        </w:rPr>
        <w:t>tiene el</w:t>
      </w:r>
      <w:r w:rsidRPr="00777D09">
        <w:rPr>
          <w:rFonts w:ascii="Arial" w:eastAsiaTheme="majorEastAsia" w:hAnsi="Arial" w:cs="Arial"/>
          <w:sz w:val="25"/>
          <w:szCs w:val="25"/>
          <w:lang w:val="es-ES"/>
        </w:rPr>
        <w:t xml:space="preserve"> </w:t>
      </w:r>
      <w:r w:rsidR="00CC063F" w:rsidRPr="00777D09">
        <w:rPr>
          <w:rFonts w:ascii="Arial" w:eastAsiaTheme="majorEastAsia" w:hAnsi="Arial" w:cs="Arial"/>
          <w:sz w:val="25"/>
          <w:szCs w:val="25"/>
          <w:lang w:val="es-ES"/>
        </w:rPr>
        <w:t xml:space="preserve">objetivo </w:t>
      </w:r>
      <w:r w:rsidR="00533C07" w:rsidRPr="00777D09">
        <w:rPr>
          <w:rFonts w:ascii="Arial" w:eastAsiaTheme="majorEastAsia" w:hAnsi="Arial" w:cs="Arial"/>
          <w:sz w:val="25"/>
          <w:szCs w:val="25"/>
          <w:lang w:val="es-ES"/>
        </w:rPr>
        <w:t xml:space="preserve">de </w:t>
      </w:r>
      <w:r w:rsidR="00284762">
        <w:rPr>
          <w:rFonts w:ascii="Arial" w:eastAsiaTheme="majorEastAsia" w:hAnsi="Arial" w:cs="Arial"/>
          <w:sz w:val="25"/>
          <w:szCs w:val="25"/>
          <w:lang w:val="es-ES"/>
        </w:rPr>
        <w:t>establecer dentro del procedimiento, el recurso de revocación como mecanismo de impugnación cuando las resoluciones emitidas por las Salas del Tribunal de Justicia Administrativa o de la autoridad administrativa nieguen al ciudadano la indemnización a la que cree tener derecho, o que la otorguen por un monto que no le satisfagan al interesado</w:t>
      </w:r>
      <w:r w:rsidR="00533C07" w:rsidRPr="00777D09">
        <w:rPr>
          <w:rFonts w:ascii="Arial" w:eastAsiaTheme="majorEastAsia" w:hAnsi="Arial" w:cs="Arial"/>
          <w:sz w:val="25"/>
          <w:szCs w:val="25"/>
          <w:lang w:val="es-ES"/>
        </w:rPr>
        <w:t>.</w:t>
      </w:r>
    </w:p>
    <w:p w:rsidR="009F0C35" w:rsidRPr="00777D09" w:rsidRDefault="009F0C35" w:rsidP="00777D09">
      <w:pPr>
        <w:pStyle w:val="Prrafodelista"/>
        <w:rPr>
          <w:rFonts w:ascii="Arial" w:eastAsiaTheme="majorEastAsia" w:hAnsi="Arial" w:cs="Arial"/>
          <w:sz w:val="25"/>
          <w:szCs w:val="25"/>
          <w:lang w:val="es"/>
        </w:rPr>
      </w:pPr>
    </w:p>
    <w:p w:rsidR="00B8008B" w:rsidRPr="00777D09" w:rsidRDefault="00B8008B" w:rsidP="00777D09">
      <w:pPr>
        <w:pStyle w:val="Prrafodelista"/>
        <w:numPr>
          <w:ilvl w:val="0"/>
          <w:numId w:val="5"/>
        </w:numPr>
        <w:spacing w:after="0"/>
        <w:ind w:left="0" w:firstLine="0"/>
        <w:jc w:val="both"/>
        <w:rPr>
          <w:rFonts w:ascii="Arial" w:hAnsi="Arial" w:cs="Arial"/>
          <w:sz w:val="25"/>
          <w:szCs w:val="25"/>
        </w:rPr>
      </w:pPr>
      <w:r w:rsidRPr="00777D09">
        <w:rPr>
          <w:rFonts w:ascii="Arial" w:hAnsi="Arial" w:cs="Arial"/>
          <w:sz w:val="25"/>
          <w:szCs w:val="25"/>
        </w:rPr>
        <w:t>Dentro de las consideraciones relevantes que plantea la iniciativa en su exposición de motivos, se encuentran las siguientes:</w:t>
      </w:r>
    </w:p>
    <w:p w:rsidR="00CC063F" w:rsidRPr="00777D09" w:rsidRDefault="00CC063F" w:rsidP="00777D09">
      <w:pPr>
        <w:pStyle w:val="Prrafodelista"/>
        <w:ind w:left="0"/>
        <w:rPr>
          <w:rFonts w:ascii="Arial" w:hAnsi="Arial" w:cs="Arial"/>
          <w:sz w:val="25"/>
          <w:szCs w:val="25"/>
        </w:rPr>
      </w:pPr>
    </w:p>
    <w:p w:rsidR="001463CE" w:rsidRPr="00777D09" w:rsidRDefault="00284762" w:rsidP="00777D09">
      <w:pPr>
        <w:pStyle w:val="Prrafodelista"/>
        <w:numPr>
          <w:ilvl w:val="0"/>
          <w:numId w:val="31"/>
        </w:numPr>
        <w:tabs>
          <w:tab w:val="left" w:pos="709"/>
        </w:tabs>
        <w:ind w:left="0" w:firstLine="851"/>
        <w:jc w:val="both"/>
        <w:rPr>
          <w:rFonts w:ascii="Arial" w:hAnsi="Arial" w:cs="Arial"/>
          <w:sz w:val="25"/>
          <w:szCs w:val="25"/>
        </w:rPr>
      </w:pPr>
      <w:r>
        <w:rPr>
          <w:rFonts w:ascii="Arial" w:hAnsi="Arial" w:cs="Arial"/>
          <w:sz w:val="25"/>
          <w:szCs w:val="25"/>
        </w:rPr>
        <w:t xml:space="preserve">La certeza jurídica es un fundamento indispensable de las instituciones democráticas y del estado de derecho, constituidos por medio de contrapesos institucionales que previenen los casos de abuso de autoridad y que le garanticen al ciudadano el acceso a los mecanismos para plantear sus </w:t>
      </w:r>
      <w:r>
        <w:rPr>
          <w:rFonts w:ascii="Arial" w:hAnsi="Arial" w:cs="Arial"/>
          <w:sz w:val="25"/>
          <w:szCs w:val="25"/>
        </w:rPr>
        <w:lastRenderedPageBreak/>
        <w:t>argumentos y defender su patrimonio ante lo que considera un daño provocado por la acción de la autoridad</w:t>
      </w:r>
      <w:r w:rsidR="002442E1" w:rsidRPr="00777D09">
        <w:rPr>
          <w:rFonts w:ascii="Arial" w:hAnsi="Arial" w:cs="Arial"/>
          <w:sz w:val="25"/>
          <w:szCs w:val="25"/>
        </w:rPr>
        <w:t>.</w:t>
      </w:r>
    </w:p>
    <w:p w:rsidR="002442E1" w:rsidRPr="00777D09" w:rsidRDefault="002442E1" w:rsidP="00777D09">
      <w:pPr>
        <w:pStyle w:val="Prrafodelista"/>
        <w:tabs>
          <w:tab w:val="left" w:pos="709"/>
        </w:tabs>
        <w:ind w:left="851"/>
        <w:jc w:val="both"/>
        <w:rPr>
          <w:rFonts w:ascii="Arial" w:hAnsi="Arial" w:cs="Arial"/>
          <w:sz w:val="25"/>
          <w:szCs w:val="25"/>
        </w:rPr>
      </w:pPr>
    </w:p>
    <w:p w:rsidR="002442E1" w:rsidRPr="00777D09" w:rsidRDefault="00284762" w:rsidP="00777D09">
      <w:pPr>
        <w:pStyle w:val="Prrafodelista"/>
        <w:numPr>
          <w:ilvl w:val="0"/>
          <w:numId w:val="31"/>
        </w:numPr>
        <w:tabs>
          <w:tab w:val="left" w:pos="709"/>
        </w:tabs>
        <w:spacing w:before="240"/>
        <w:ind w:left="0" w:firstLine="851"/>
        <w:jc w:val="both"/>
        <w:rPr>
          <w:rFonts w:ascii="Arial" w:hAnsi="Arial" w:cs="Arial"/>
          <w:sz w:val="25"/>
          <w:szCs w:val="25"/>
        </w:rPr>
      </w:pPr>
      <w:r>
        <w:rPr>
          <w:rFonts w:ascii="Arial" w:hAnsi="Arial" w:cs="Arial"/>
          <w:sz w:val="25"/>
          <w:szCs w:val="25"/>
        </w:rPr>
        <w:t>Actualmente la Ley de Responsabilidad Patrimonial no contempla medio de impugnación ante las resoluciones emitidas p</w:t>
      </w:r>
      <w:r w:rsidR="00BA611E">
        <w:rPr>
          <w:rFonts w:ascii="Arial" w:hAnsi="Arial" w:cs="Arial"/>
          <w:sz w:val="25"/>
          <w:szCs w:val="25"/>
        </w:rPr>
        <w:t>or la autoridad administrativa, y mucho menos remite o posibilita el recurso de reclamación, siendo evidente que el ciudadano se encuentra en desventaja respecto a la decisión del juzgador, al existir sólo una instancia jurisdiccional cuando se acude ante el Tribunal de Justicia Administrativa</w:t>
      </w:r>
      <w:r w:rsidR="003C274D" w:rsidRPr="00777D09">
        <w:rPr>
          <w:rFonts w:ascii="Arial" w:hAnsi="Arial" w:cs="Arial"/>
          <w:sz w:val="25"/>
          <w:szCs w:val="25"/>
        </w:rPr>
        <w:t>.</w:t>
      </w:r>
    </w:p>
    <w:p w:rsidR="003C274D" w:rsidRPr="00777D09" w:rsidRDefault="003C274D" w:rsidP="00777D09">
      <w:pPr>
        <w:pStyle w:val="Prrafodelista"/>
        <w:rPr>
          <w:rFonts w:ascii="Arial" w:hAnsi="Arial" w:cs="Arial"/>
          <w:sz w:val="25"/>
          <w:szCs w:val="25"/>
        </w:rPr>
      </w:pPr>
    </w:p>
    <w:p w:rsidR="003C274D" w:rsidRPr="00777D09" w:rsidRDefault="00BA611E" w:rsidP="00777D09">
      <w:pPr>
        <w:pStyle w:val="Prrafodelista"/>
        <w:numPr>
          <w:ilvl w:val="0"/>
          <w:numId w:val="31"/>
        </w:numPr>
        <w:tabs>
          <w:tab w:val="left" w:pos="709"/>
        </w:tabs>
        <w:spacing w:before="240"/>
        <w:ind w:left="0" w:firstLine="851"/>
        <w:jc w:val="both"/>
        <w:rPr>
          <w:rFonts w:ascii="Arial" w:hAnsi="Arial" w:cs="Arial"/>
          <w:sz w:val="25"/>
          <w:szCs w:val="25"/>
        </w:rPr>
      </w:pPr>
      <w:r>
        <w:rPr>
          <w:rFonts w:ascii="Arial" w:hAnsi="Arial" w:cs="Arial"/>
          <w:sz w:val="25"/>
          <w:szCs w:val="25"/>
        </w:rPr>
        <w:t>Con dicha iniciativa se pretende dar un paso al pleno ejercicio del estado de derecho en condiciones de eficiencia e imparcialidad, respondiendo a una demanda ciudadana, necesidad institucional y deber de justicia</w:t>
      </w:r>
      <w:r w:rsidR="003C274D" w:rsidRPr="00777D09">
        <w:rPr>
          <w:rFonts w:ascii="Arial" w:hAnsi="Arial" w:cs="Arial"/>
          <w:sz w:val="25"/>
          <w:szCs w:val="25"/>
        </w:rPr>
        <w:t>.</w:t>
      </w:r>
    </w:p>
    <w:p w:rsidR="00181A71" w:rsidRPr="00777D09" w:rsidRDefault="00181A71" w:rsidP="00777D09">
      <w:pPr>
        <w:spacing w:after="0"/>
        <w:jc w:val="both"/>
        <w:rPr>
          <w:rFonts w:ascii="Arial" w:hAnsi="Arial" w:cs="Arial"/>
          <w:sz w:val="25"/>
          <w:szCs w:val="25"/>
        </w:rPr>
      </w:pPr>
      <w:r w:rsidRPr="00777D09">
        <w:rPr>
          <w:rFonts w:ascii="Arial" w:hAnsi="Arial" w:cs="Arial"/>
          <w:sz w:val="25"/>
          <w:szCs w:val="25"/>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777D09" w:rsidRDefault="00181A71" w:rsidP="00777D09">
      <w:pPr>
        <w:spacing w:after="0"/>
        <w:jc w:val="both"/>
        <w:rPr>
          <w:rFonts w:ascii="Arial" w:hAnsi="Arial" w:cs="Arial"/>
          <w:sz w:val="25"/>
          <w:szCs w:val="25"/>
        </w:rPr>
      </w:pPr>
    </w:p>
    <w:p w:rsidR="00181A71" w:rsidRPr="00777D09" w:rsidRDefault="00181A71" w:rsidP="00777D09">
      <w:pPr>
        <w:spacing w:after="0"/>
        <w:jc w:val="center"/>
        <w:rPr>
          <w:rFonts w:ascii="Arial" w:hAnsi="Arial" w:cs="Arial"/>
          <w:b/>
          <w:sz w:val="25"/>
          <w:szCs w:val="25"/>
          <w:lang w:val="pt-BR"/>
        </w:rPr>
      </w:pPr>
      <w:r w:rsidRPr="00777D09">
        <w:rPr>
          <w:rFonts w:ascii="Arial" w:hAnsi="Arial" w:cs="Arial"/>
          <w:b/>
          <w:sz w:val="25"/>
          <w:szCs w:val="25"/>
          <w:lang w:val="pt-BR"/>
        </w:rPr>
        <w:t>A C U E R D O</w:t>
      </w:r>
    </w:p>
    <w:p w:rsidR="008D545B" w:rsidRPr="00777D09" w:rsidRDefault="008D545B" w:rsidP="00777D09">
      <w:pPr>
        <w:spacing w:after="0"/>
        <w:jc w:val="both"/>
        <w:rPr>
          <w:rFonts w:ascii="Arial" w:hAnsi="Arial" w:cs="Arial"/>
          <w:b/>
          <w:sz w:val="25"/>
          <w:szCs w:val="25"/>
          <w:lang w:val="pt-BR"/>
        </w:rPr>
      </w:pPr>
    </w:p>
    <w:p w:rsidR="00181A71" w:rsidRPr="00777D09" w:rsidRDefault="00181A71" w:rsidP="00777D09">
      <w:pPr>
        <w:spacing w:after="0"/>
        <w:jc w:val="both"/>
        <w:rPr>
          <w:rFonts w:ascii="Arial" w:hAnsi="Arial" w:cs="Arial"/>
          <w:sz w:val="25"/>
          <w:szCs w:val="25"/>
        </w:rPr>
      </w:pPr>
      <w:r w:rsidRPr="00777D09">
        <w:rPr>
          <w:rFonts w:ascii="Arial" w:hAnsi="Arial" w:cs="Arial"/>
          <w:b/>
          <w:sz w:val="25"/>
          <w:szCs w:val="25"/>
        </w:rPr>
        <w:t>Único.</w:t>
      </w:r>
      <w:r w:rsidRPr="00777D09">
        <w:rPr>
          <w:rFonts w:ascii="Arial" w:hAnsi="Arial" w:cs="Arial"/>
          <w:sz w:val="25"/>
          <w:szCs w:val="25"/>
        </w:rPr>
        <w:t xml:space="preserve"> </w:t>
      </w:r>
      <w:r w:rsidR="00435D05" w:rsidRPr="00777D09">
        <w:rPr>
          <w:rFonts w:ascii="Arial" w:hAnsi="Arial" w:cs="Arial"/>
          <w:sz w:val="25"/>
          <w:szCs w:val="25"/>
        </w:rPr>
        <w:t>Para efectos del último párrafo del artículo 56 de la Constitución Política para el Estado de Gu</w:t>
      </w:r>
      <w:r w:rsidR="00793A1C" w:rsidRPr="00777D09">
        <w:rPr>
          <w:rFonts w:ascii="Arial" w:hAnsi="Arial" w:cs="Arial"/>
          <w:sz w:val="25"/>
          <w:szCs w:val="25"/>
        </w:rPr>
        <w:t>anajuato, envíese la respuesta</w:t>
      </w:r>
      <w:r w:rsidR="00435D05" w:rsidRPr="00777D09">
        <w:rPr>
          <w:rFonts w:ascii="Arial" w:hAnsi="Arial" w:cs="Arial"/>
          <w:sz w:val="25"/>
          <w:szCs w:val="25"/>
        </w:rPr>
        <w:t xml:space="preserve"> </w:t>
      </w:r>
      <w:r w:rsidR="00147C04" w:rsidRPr="00B726D4">
        <w:rPr>
          <w:rFonts w:ascii="Arial" w:hAnsi="Arial" w:cs="Arial"/>
          <w:b/>
          <w:sz w:val="25"/>
          <w:szCs w:val="25"/>
        </w:rPr>
        <w:t xml:space="preserve">correspondiente a la </w:t>
      </w:r>
      <w:r w:rsidR="00BA611E" w:rsidRPr="00B726D4">
        <w:rPr>
          <w:rFonts w:ascii="Arial" w:hAnsi="Arial" w:cs="Arial"/>
          <w:b/>
          <w:sz w:val="25"/>
          <w:szCs w:val="25"/>
        </w:rPr>
        <w:t xml:space="preserve">iniciativa para reformar y adicionar diversos artículos a la Ley de Responsabilidad Patrimonial del Estado y los Municipios </w:t>
      </w:r>
      <w:r w:rsidR="00415DAB">
        <w:rPr>
          <w:rFonts w:ascii="Arial" w:hAnsi="Arial" w:cs="Arial"/>
          <w:b/>
          <w:sz w:val="25"/>
          <w:szCs w:val="25"/>
        </w:rPr>
        <w:t xml:space="preserve">de Guanajuato </w:t>
      </w:r>
      <w:r w:rsidR="00BA611E" w:rsidRPr="00B726D4">
        <w:rPr>
          <w:rFonts w:ascii="Arial" w:hAnsi="Arial" w:cs="Arial"/>
          <w:b/>
          <w:sz w:val="25"/>
          <w:szCs w:val="25"/>
        </w:rPr>
        <w:t>y reforma a la fracción III del artículo 25 de la Ley Orgánica del Tribunal de Justicia Administrativa del Estado de Guanajuato</w:t>
      </w:r>
      <w:r w:rsidR="00435D05" w:rsidRPr="00777D09">
        <w:rPr>
          <w:rFonts w:ascii="Arial" w:hAnsi="Arial" w:cs="Arial"/>
          <w:b/>
          <w:sz w:val="25"/>
          <w:szCs w:val="25"/>
        </w:rPr>
        <w:t xml:space="preserve">, </w:t>
      </w:r>
      <w:r w:rsidR="003C274D" w:rsidRPr="00777D09">
        <w:rPr>
          <w:rFonts w:ascii="Arial" w:hAnsi="Arial" w:cs="Arial"/>
          <w:sz w:val="25"/>
          <w:szCs w:val="25"/>
        </w:rPr>
        <w:t xml:space="preserve">la cual tiene el objetivo de </w:t>
      </w:r>
      <w:r w:rsidR="00BA611E" w:rsidRPr="003F504F">
        <w:rPr>
          <w:rFonts w:ascii="Arial" w:eastAsiaTheme="majorEastAsia" w:hAnsi="Arial" w:cs="Arial"/>
          <w:b/>
          <w:sz w:val="25"/>
          <w:szCs w:val="25"/>
          <w:lang w:val="es-ES"/>
        </w:rPr>
        <w:t xml:space="preserve">establecer el recurso de revocación como mecanismo de impugnación contra las resoluciones emitidas </w:t>
      </w:r>
      <w:r w:rsidR="003F504F">
        <w:rPr>
          <w:rFonts w:ascii="Arial" w:eastAsiaTheme="majorEastAsia" w:hAnsi="Arial" w:cs="Arial"/>
          <w:b/>
          <w:sz w:val="25"/>
          <w:szCs w:val="25"/>
          <w:lang w:val="es-ES"/>
        </w:rPr>
        <w:t>en el procedimiento</w:t>
      </w:r>
      <w:r w:rsidR="00435D05" w:rsidRPr="00777D09">
        <w:rPr>
          <w:rFonts w:ascii="Arial" w:hAnsi="Arial" w:cs="Arial"/>
          <w:sz w:val="25"/>
          <w:szCs w:val="25"/>
          <w:shd w:val="clear" w:color="auto" w:fill="FFFFFF"/>
        </w:rPr>
        <w:t>.</w:t>
      </w:r>
      <w:r w:rsidR="00435D05" w:rsidRPr="00777D09">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r w:rsidR="00E64F95" w:rsidRPr="00777D09">
        <w:rPr>
          <w:rFonts w:ascii="Arial" w:hAnsi="Arial" w:cs="Arial"/>
          <w:sz w:val="25"/>
          <w:szCs w:val="25"/>
        </w:rPr>
        <w:t xml:space="preserve"> </w:t>
      </w:r>
    </w:p>
    <w:p w:rsidR="00BA611E" w:rsidRPr="00777D09" w:rsidRDefault="00BA611E" w:rsidP="00D315C5">
      <w:pPr>
        <w:spacing w:after="0"/>
        <w:rPr>
          <w:rFonts w:ascii="Arial" w:eastAsia="Times New Roman" w:hAnsi="Arial" w:cs="Arial"/>
          <w:b/>
          <w:bCs/>
          <w:sz w:val="25"/>
          <w:szCs w:val="25"/>
          <w:lang w:eastAsia="es-ES"/>
        </w:rPr>
      </w:pPr>
    </w:p>
    <w:p w:rsidR="00BD0232" w:rsidRPr="00777D09" w:rsidRDefault="00BD0232" w:rsidP="00777D09">
      <w:pPr>
        <w:spacing w:after="0"/>
        <w:jc w:val="center"/>
        <w:rPr>
          <w:rFonts w:ascii="Arial" w:eastAsia="Times New Roman" w:hAnsi="Arial" w:cs="Arial"/>
          <w:b/>
          <w:bCs/>
          <w:sz w:val="25"/>
          <w:szCs w:val="25"/>
          <w:lang w:eastAsia="es-ES"/>
        </w:rPr>
      </w:pPr>
    </w:p>
    <w:p w:rsidR="009F58E0" w:rsidRPr="00777D09" w:rsidRDefault="009F58E0" w:rsidP="00777D09">
      <w:pPr>
        <w:spacing w:after="0"/>
        <w:jc w:val="center"/>
        <w:rPr>
          <w:rFonts w:ascii="Arial" w:eastAsia="Times New Roman" w:hAnsi="Arial" w:cs="Arial"/>
          <w:b/>
          <w:bCs/>
          <w:sz w:val="25"/>
          <w:szCs w:val="25"/>
          <w:lang w:eastAsia="es-ES"/>
        </w:rPr>
      </w:pPr>
      <w:r w:rsidRPr="00777D09">
        <w:rPr>
          <w:rFonts w:ascii="Arial" w:eastAsia="Times New Roman" w:hAnsi="Arial" w:cs="Arial"/>
          <w:b/>
          <w:bCs/>
          <w:sz w:val="25"/>
          <w:szCs w:val="25"/>
          <w:lang w:eastAsia="es-ES"/>
        </w:rPr>
        <w:t>A T E N T A M E N T E</w:t>
      </w:r>
    </w:p>
    <w:p w:rsidR="009F58E0" w:rsidRPr="00777D09" w:rsidRDefault="009F58E0" w:rsidP="00777D09">
      <w:pPr>
        <w:spacing w:after="0"/>
        <w:jc w:val="center"/>
        <w:rPr>
          <w:rFonts w:ascii="Arial" w:eastAsia="Times New Roman" w:hAnsi="Arial" w:cs="Arial"/>
          <w:b/>
          <w:sz w:val="25"/>
          <w:szCs w:val="25"/>
          <w:lang w:val="es-ES" w:eastAsia="es-ES"/>
        </w:rPr>
      </w:pPr>
      <w:r w:rsidRPr="00777D09">
        <w:rPr>
          <w:rFonts w:ascii="Arial" w:eastAsia="Times New Roman" w:hAnsi="Arial" w:cs="Arial"/>
          <w:b/>
          <w:sz w:val="25"/>
          <w:szCs w:val="25"/>
          <w:lang w:val="es-ES" w:eastAsia="es-ES"/>
        </w:rPr>
        <w:t>“EL TRABAJO TODO LO VENCE”</w:t>
      </w:r>
    </w:p>
    <w:p w:rsidR="00ED7888" w:rsidRPr="00777D09" w:rsidRDefault="00ED7888" w:rsidP="00777D09">
      <w:pPr>
        <w:pStyle w:val="Default"/>
        <w:spacing w:line="276" w:lineRule="auto"/>
        <w:jc w:val="center"/>
        <w:rPr>
          <w:b/>
          <w:bCs/>
          <w:color w:val="auto"/>
          <w:sz w:val="25"/>
          <w:szCs w:val="25"/>
        </w:rPr>
      </w:pPr>
      <w:r w:rsidRPr="00777D09">
        <w:rPr>
          <w:b/>
          <w:bCs/>
          <w:color w:val="auto"/>
          <w:sz w:val="25"/>
          <w:szCs w:val="25"/>
          <w:lang w:val="es-ES_tradnl"/>
        </w:rPr>
        <w:t>“20</w:t>
      </w:r>
      <w:r w:rsidR="00E44B12" w:rsidRPr="00777D09">
        <w:rPr>
          <w:b/>
          <w:bCs/>
          <w:color w:val="auto"/>
          <w:sz w:val="25"/>
          <w:szCs w:val="25"/>
          <w:lang w:val="es-ES_tradnl"/>
        </w:rPr>
        <w:t>20</w:t>
      </w:r>
      <w:r w:rsidRPr="00777D09">
        <w:rPr>
          <w:b/>
          <w:bCs/>
          <w:color w:val="auto"/>
          <w:sz w:val="25"/>
          <w:szCs w:val="25"/>
          <w:lang w:val="es-ES_tradnl"/>
        </w:rPr>
        <w:t xml:space="preserve">, </w:t>
      </w:r>
      <w:r w:rsidR="00E44B12" w:rsidRPr="00777D09">
        <w:rPr>
          <w:b/>
          <w:bCs/>
          <w:color w:val="auto"/>
          <w:sz w:val="25"/>
          <w:szCs w:val="25"/>
          <w:lang w:val="es-ES_tradnl"/>
        </w:rPr>
        <w:t>AÑO DE LEONA VICARIO, BENEMÉRITA MADRE DE LA PATRIA</w:t>
      </w:r>
      <w:r w:rsidRPr="00777D09">
        <w:rPr>
          <w:b/>
          <w:bCs/>
          <w:color w:val="auto"/>
          <w:sz w:val="25"/>
          <w:szCs w:val="25"/>
          <w:lang w:val="es-ES_tradnl"/>
        </w:rPr>
        <w:t>”</w:t>
      </w:r>
    </w:p>
    <w:p w:rsidR="009F58E0" w:rsidRPr="00777D09" w:rsidRDefault="0019708E" w:rsidP="00777D09">
      <w:pPr>
        <w:spacing w:after="0"/>
        <w:jc w:val="center"/>
        <w:rPr>
          <w:rFonts w:ascii="Arial" w:hAnsi="Arial" w:cs="Arial"/>
          <w:b/>
          <w:bCs/>
          <w:sz w:val="25"/>
          <w:szCs w:val="25"/>
          <w:lang w:val="es-ES" w:eastAsia="es-ES"/>
        </w:rPr>
      </w:pPr>
      <w:r w:rsidRPr="00777D09">
        <w:rPr>
          <w:rFonts w:ascii="Arial" w:hAnsi="Arial" w:cs="Arial"/>
          <w:b/>
          <w:bCs/>
          <w:sz w:val="25"/>
          <w:szCs w:val="25"/>
          <w:lang w:val="es-ES" w:eastAsia="es-ES"/>
        </w:rPr>
        <w:t xml:space="preserve">LEÓN, GUANAJUATO, </w:t>
      </w:r>
      <w:r w:rsidR="00BA611E">
        <w:rPr>
          <w:rFonts w:ascii="Arial" w:hAnsi="Arial" w:cs="Arial"/>
          <w:b/>
          <w:bCs/>
          <w:sz w:val="25"/>
          <w:szCs w:val="25"/>
          <w:lang w:val="es-ES" w:eastAsia="es-ES"/>
        </w:rPr>
        <w:t>18 DE FEBRERO</w:t>
      </w:r>
      <w:r w:rsidR="00E81494" w:rsidRPr="00777D09">
        <w:rPr>
          <w:rFonts w:ascii="Arial" w:hAnsi="Arial" w:cs="Arial"/>
          <w:b/>
          <w:bCs/>
          <w:sz w:val="25"/>
          <w:szCs w:val="25"/>
          <w:lang w:val="es-ES" w:eastAsia="es-ES"/>
        </w:rPr>
        <w:t xml:space="preserve"> </w:t>
      </w:r>
      <w:r w:rsidR="003C274D" w:rsidRPr="00777D09">
        <w:rPr>
          <w:rFonts w:ascii="Arial" w:hAnsi="Arial" w:cs="Arial"/>
          <w:b/>
          <w:bCs/>
          <w:sz w:val="25"/>
          <w:szCs w:val="25"/>
          <w:lang w:val="es-ES" w:eastAsia="es-ES"/>
        </w:rPr>
        <w:t>DE 2020</w:t>
      </w:r>
    </w:p>
    <w:p w:rsidR="00D315C5" w:rsidRDefault="00D315C5" w:rsidP="00777D09">
      <w:pPr>
        <w:spacing w:after="0"/>
        <w:jc w:val="center"/>
        <w:rPr>
          <w:rFonts w:ascii="Arial" w:hAnsi="Arial" w:cs="Arial"/>
          <w:b/>
          <w:bCs/>
          <w:sz w:val="25"/>
          <w:szCs w:val="25"/>
          <w:lang w:eastAsia="es-ES"/>
        </w:rPr>
      </w:pPr>
    </w:p>
    <w:p w:rsidR="008D545B" w:rsidRPr="00777D09" w:rsidRDefault="009F58E0" w:rsidP="00777D09">
      <w:pPr>
        <w:spacing w:after="0"/>
        <w:jc w:val="center"/>
        <w:rPr>
          <w:rFonts w:ascii="Arial" w:hAnsi="Arial" w:cs="Arial"/>
          <w:b/>
          <w:bCs/>
          <w:sz w:val="25"/>
          <w:szCs w:val="25"/>
          <w:lang w:eastAsia="es-ES"/>
        </w:rPr>
      </w:pPr>
      <w:r w:rsidRPr="00777D09">
        <w:rPr>
          <w:rFonts w:ascii="Arial" w:hAnsi="Arial" w:cs="Arial"/>
          <w:b/>
          <w:bCs/>
          <w:sz w:val="25"/>
          <w:szCs w:val="25"/>
          <w:lang w:eastAsia="es-ES"/>
        </w:rPr>
        <w:t xml:space="preserve">INTEGRANTES DE LA </w:t>
      </w:r>
      <w:r w:rsidRPr="00777D09">
        <w:rPr>
          <w:rFonts w:ascii="Arial" w:hAnsi="Arial" w:cs="Arial"/>
          <w:b/>
          <w:bCs/>
          <w:sz w:val="25"/>
          <w:szCs w:val="25"/>
          <w:lang w:val="es-ES_tradnl" w:eastAsia="es-ES"/>
        </w:rPr>
        <w:t>COMISIÓN DE GOBIERNO, SEGURIDAD PÚBLICA Y TRÁNSITO</w:t>
      </w:r>
    </w:p>
    <w:p w:rsidR="008D545B" w:rsidRPr="00777D09" w:rsidRDefault="008D545B" w:rsidP="00777D09">
      <w:pPr>
        <w:spacing w:after="0"/>
        <w:rPr>
          <w:rFonts w:ascii="Arial" w:hAnsi="Arial" w:cs="Arial"/>
          <w:b/>
          <w:sz w:val="25"/>
          <w:szCs w:val="25"/>
        </w:rPr>
      </w:pPr>
    </w:p>
    <w:p w:rsidR="00777D09" w:rsidRPr="00777D09" w:rsidRDefault="00777D09" w:rsidP="00777D09">
      <w:pPr>
        <w:spacing w:after="0"/>
        <w:rPr>
          <w:rFonts w:ascii="Arial" w:hAnsi="Arial" w:cs="Arial"/>
          <w:b/>
          <w:sz w:val="25"/>
          <w:szCs w:val="25"/>
        </w:rPr>
      </w:pPr>
    </w:p>
    <w:p w:rsidR="008D545B" w:rsidRPr="00777D09" w:rsidRDefault="008D545B" w:rsidP="00777D09">
      <w:pPr>
        <w:spacing w:after="0"/>
        <w:rPr>
          <w:rFonts w:ascii="Arial" w:hAnsi="Arial" w:cs="Arial"/>
          <w:b/>
          <w:sz w:val="25"/>
          <w:szCs w:val="25"/>
        </w:rPr>
      </w:pPr>
    </w:p>
    <w:p w:rsidR="00940B35" w:rsidRPr="00777D09" w:rsidRDefault="00940B35" w:rsidP="00777D09">
      <w:pPr>
        <w:spacing w:after="0"/>
        <w:rPr>
          <w:rFonts w:ascii="Arial" w:hAnsi="Arial" w:cs="Arial"/>
          <w:b/>
          <w:sz w:val="25"/>
          <w:szCs w:val="25"/>
        </w:rPr>
      </w:pPr>
      <w:r w:rsidRPr="00777D09">
        <w:rPr>
          <w:rFonts w:ascii="Arial" w:hAnsi="Arial" w:cs="Arial"/>
          <w:b/>
          <w:sz w:val="25"/>
          <w:szCs w:val="25"/>
        </w:rPr>
        <w:t>CHRISTIAN JAVIER CRUZ VILLEGAS</w:t>
      </w:r>
    </w:p>
    <w:p w:rsidR="00940B35" w:rsidRPr="00777D09" w:rsidRDefault="00940B35" w:rsidP="00777D09">
      <w:pPr>
        <w:spacing w:after="0"/>
        <w:rPr>
          <w:rFonts w:ascii="Arial" w:hAnsi="Arial" w:cs="Arial"/>
          <w:b/>
          <w:sz w:val="25"/>
          <w:szCs w:val="25"/>
        </w:rPr>
      </w:pPr>
      <w:r w:rsidRPr="00777D09">
        <w:rPr>
          <w:rFonts w:ascii="Arial" w:hAnsi="Arial" w:cs="Arial"/>
          <w:b/>
          <w:sz w:val="25"/>
          <w:szCs w:val="25"/>
        </w:rPr>
        <w:t>SINDICO</w:t>
      </w:r>
    </w:p>
    <w:p w:rsidR="00940B35" w:rsidRPr="00777D09" w:rsidRDefault="00940B35" w:rsidP="00777D09">
      <w:pPr>
        <w:spacing w:after="0"/>
        <w:rPr>
          <w:rFonts w:ascii="Arial" w:hAnsi="Arial" w:cs="Arial"/>
          <w:b/>
          <w:sz w:val="25"/>
          <w:szCs w:val="25"/>
        </w:rPr>
      </w:pPr>
    </w:p>
    <w:p w:rsidR="000D7E12" w:rsidRPr="00777D09" w:rsidRDefault="000D7E12" w:rsidP="00777D09">
      <w:pPr>
        <w:spacing w:after="0"/>
        <w:jc w:val="right"/>
        <w:rPr>
          <w:rFonts w:ascii="Arial" w:hAnsi="Arial" w:cs="Arial"/>
          <w:b/>
          <w:sz w:val="25"/>
          <w:szCs w:val="25"/>
        </w:rPr>
      </w:pPr>
    </w:p>
    <w:p w:rsidR="00940B35" w:rsidRPr="00777D09" w:rsidRDefault="00940B35" w:rsidP="00777D09">
      <w:pPr>
        <w:spacing w:after="0"/>
        <w:jc w:val="right"/>
        <w:rPr>
          <w:rFonts w:ascii="Arial" w:hAnsi="Arial" w:cs="Arial"/>
          <w:b/>
          <w:sz w:val="25"/>
          <w:szCs w:val="25"/>
        </w:rPr>
      </w:pPr>
      <w:r w:rsidRPr="00777D09">
        <w:rPr>
          <w:rFonts w:ascii="Arial" w:hAnsi="Arial" w:cs="Arial"/>
          <w:b/>
          <w:sz w:val="25"/>
          <w:szCs w:val="25"/>
        </w:rPr>
        <w:t>ANA MARÍA ESQUIVEL ARRONA</w:t>
      </w:r>
    </w:p>
    <w:p w:rsidR="00940B35" w:rsidRPr="00777D09" w:rsidRDefault="00940B35" w:rsidP="00777D09">
      <w:pPr>
        <w:spacing w:after="0"/>
        <w:jc w:val="right"/>
        <w:rPr>
          <w:rFonts w:ascii="Arial" w:hAnsi="Arial" w:cs="Arial"/>
          <w:b/>
          <w:sz w:val="25"/>
          <w:szCs w:val="25"/>
        </w:rPr>
      </w:pPr>
      <w:r w:rsidRPr="00777D09">
        <w:rPr>
          <w:rFonts w:ascii="Arial" w:hAnsi="Arial" w:cs="Arial"/>
          <w:b/>
          <w:sz w:val="25"/>
          <w:szCs w:val="25"/>
        </w:rPr>
        <w:t>REGIDORA</w:t>
      </w:r>
    </w:p>
    <w:p w:rsidR="00940B35" w:rsidRPr="00777D09" w:rsidRDefault="00940B35" w:rsidP="00777D09">
      <w:pPr>
        <w:spacing w:after="0"/>
        <w:rPr>
          <w:rFonts w:ascii="Arial" w:hAnsi="Arial" w:cs="Arial"/>
          <w:b/>
          <w:sz w:val="25"/>
          <w:szCs w:val="25"/>
        </w:rPr>
      </w:pPr>
    </w:p>
    <w:p w:rsidR="00940B35" w:rsidRPr="00777D09" w:rsidRDefault="00940B35" w:rsidP="00777D09">
      <w:pPr>
        <w:spacing w:after="0"/>
        <w:rPr>
          <w:rFonts w:ascii="Arial" w:hAnsi="Arial" w:cs="Arial"/>
          <w:b/>
          <w:sz w:val="25"/>
          <w:szCs w:val="25"/>
        </w:rPr>
      </w:pPr>
    </w:p>
    <w:p w:rsidR="000D7E12" w:rsidRPr="00777D09" w:rsidRDefault="000D7E12" w:rsidP="00777D09">
      <w:pPr>
        <w:spacing w:after="0"/>
        <w:rPr>
          <w:rFonts w:ascii="Arial" w:hAnsi="Arial" w:cs="Arial"/>
          <w:b/>
          <w:sz w:val="25"/>
          <w:szCs w:val="25"/>
        </w:rPr>
      </w:pPr>
    </w:p>
    <w:p w:rsidR="00940B35" w:rsidRPr="00777D09" w:rsidRDefault="006E21F5" w:rsidP="00777D09">
      <w:pPr>
        <w:spacing w:after="0"/>
        <w:rPr>
          <w:rFonts w:ascii="Arial" w:hAnsi="Arial" w:cs="Arial"/>
          <w:b/>
          <w:sz w:val="25"/>
          <w:szCs w:val="25"/>
        </w:rPr>
      </w:pPr>
      <w:r w:rsidRPr="00777D09">
        <w:rPr>
          <w:rFonts w:ascii="Arial" w:hAnsi="Arial" w:cs="Arial"/>
          <w:b/>
          <w:sz w:val="25"/>
          <w:szCs w:val="25"/>
        </w:rPr>
        <w:t>MARÍ</w:t>
      </w:r>
      <w:r w:rsidR="00940B35" w:rsidRPr="00777D09">
        <w:rPr>
          <w:rFonts w:ascii="Arial" w:hAnsi="Arial" w:cs="Arial"/>
          <w:b/>
          <w:sz w:val="25"/>
          <w:szCs w:val="25"/>
        </w:rPr>
        <w:t>A OLIMPIA ZAPATA PADILLA</w:t>
      </w:r>
    </w:p>
    <w:p w:rsidR="00940B35" w:rsidRPr="00777D09" w:rsidRDefault="00940B35" w:rsidP="00777D09">
      <w:pPr>
        <w:spacing w:after="0"/>
        <w:rPr>
          <w:rFonts w:ascii="Arial" w:hAnsi="Arial" w:cs="Arial"/>
          <w:b/>
          <w:sz w:val="25"/>
          <w:szCs w:val="25"/>
        </w:rPr>
      </w:pPr>
      <w:r w:rsidRPr="00777D09">
        <w:rPr>
          <w:rFonts w:ascii="Arial" w:hAnsi="Arial" w:cs="Arial"/>
          <w:b/>
          <w:sz w:val="25"/>
          <w:szCs w:val="25"/>
        </w:rPr>
        <w:t>REGIDORA</w:t>
      </w:r>
    </w:p>
    <w:p w:rsidR="00ED7888" w:rsidRPr="00777D09" w:rsidRDefault="00ED7888" w:rsidP="00777D09">
      <w:pPr>
        <w:spacing w:after="0"/>
        <w:jc w:val="right"/>
        <w:rPr>
          <w:rFonts w:ascii="Arial" w:hAnsi="Arial" w:cs="Arial"/>
          <w:b/>
          <w:sz w:val="25"/>
          <w:szCs w:val="25"/>
        </w:rPr>
      </w:pPr>
    </w:p>
    <w:p w:rsidR="00E44B12" w:rsidRPr="00777D09" w:rsidRDefault="00E44B12" w:rsidP="00777D09">
      <w:pPr>
        <w:spacing w:after="0"/>
        <w:jc w:val="right"/>
        <w:rPr>
          <w:rFonts w:ascii="Arial" w:hAnsi="Arial" w:cs="Arial"/>
          <w:b/>
          <w:sz w:val="25"/>
          <w:szCs w:val="25"/>
        </w:rPr>
      </w:pPr>
    </w:p>
    <w:p w:rsidR="00ED7888" w:rsidRPr="00777D09" w:rsidRDefault="00E44B12" w:rsidP="00777D09">
      <w:pPr>
        <w:spacing w:after="0"/>
        <w:jc w:val="right"/>
        <w:rPr>
          <w:rFonts w:ascii="Arial" w:hAnsi="Arial" w:cs="Arial"/>
          <w:b/>
          <w:sz w:val="25"/>
          <w:szCs w:val="25"/>
        </w:rPr>
      </w:pPr>
      <w:r w:rsidRPr="00777D09">
        <w:rPr>
          <w:rFonts w:ascii="Arial" w:hAnsi="Arial" w:cs="Arial"/>
          <w:b/>
          <w:sz w:val="25"/>
          <w:szCs w:val="25"/>
        </w:rPr>
        <w:t>HÉCTOR ORTIZ TORRES</w:t>
      </w:r>
    </w:p>
    <w:p w:rsidR="00E44B12" w:rsidRPr="00777D09" w:rsidRDefault="00E44B12" w:rsidP="00777D09">
      <w:pPr>
        <w:spacing w:after="0"/>
        <w:jc w:val="right"/>
        <w:rPr>
          <w:rFonts w:ascii="Arial" w:hAnsi="Arial" w:cs="Arial"/>
          <w:b/>
          <w:sz w:val="25"/>
          <w:szCs w:val="25"/>
        </w:rPr>
      </w:pPr>
      <w:r w:rsidRPr="00777D09">
        <w:rPr>
          <w:rFonts w:ascii="Arial" w:hAnsi="Arial" w:cs="Arial"/>
          <w:b/>
          <w:sz w:val="25"/>
          <w:szCs w:val="25"/>
        </w:rPr>
        <w:t>REGIDOR</w:t>
      </w:r>
    </w:p>
    <w:p w:rsidR="00ED7888" w:rsidRPr="00777D09" w:rsidRDefault="00ED7888" w:rsidP="00777D09">
      <w:pPr>
        <w:spacing w:after="0"/>
        <w:jc w:val="right"/>
        <w:rPr>
          <w:rFonts w:ascii="Arial" w:hAnsi="Arial" w:cs="Arial"/>
          <w:b/>
          <w:sz w:val="25"/>
          <w:szCs w:val="25"/>
        </w:rPr>
      </w:pPr>
    </w:p>
    <w:p w:rsidR="00BB202B" w:rsidRPr="00777D09" w:rsidRDefault="00BB202B" w:rsidP="00777D09">
      <w:pPr>
        <w:spacing w:after="0"/>
        <w:jc w:val="right"/>
        <w:rPr>
          <w:rFonts w:ascii="Arial" w:hAnsi="Arial" w:cs="Arial"/>
          <w:b/>
          <w:sz w:val="25"/>
          <w:szCs w:val="25"/>
        </w:rPr>
      </w:pPr>
    </w:p>
    <w:p w:rsidR="000D7E12" w:rsidRPr="00777D09" w:rsidRDefault="000D7E12" w:rsidP="00777D09">
      <w:pPr>
        <w:spacing w:after="0"/>
        <w:rPr>
          <w:rFonts w:ascii="Arial" w:hAnsi="Arial" w:cs="Arial"/>
          <w:b/>
          <w:sz w:val="25"/>
          <w:szCs w:val="25"/>
        </w:rPr>
      </w:pPr>
      <w:r w:rsidRPr="00777D09">
        <w:rPr>
          <w:rFonts w:ascii="Arial" w:hAnsi="Arial" w:cs="Arial"/>
          <w:b/>
          <w:sz w:val="25"/>
          <w:szCs w:val="25"/>
        </w:rPr>
        <w:t>VANESSA MONTES DE OCA MAYAGOITIA</w:t>
      </w:r>
    </w:p>
    <w:p w:rsidR="000D7E12" w:rsidRPr="00777D09" w:rsidRDefault="000D7E12" w:rsidP="00777D09">
      <w:pPr>
        <w:spacing w:after="0"/>
        <w:rPr>
          <w:rFonts w:ascii="Arial" w:hAnsi="Arial" w:cs="Arial"/>
          <w:b/>
          <w:sz w:val="25"/>
          <w:szCs w:val="25"/>
        </w:rPr>
      </w:pPr>
      <w:r w:rsidRPr="00777D09">
        <w:rPr>
          <w:rFonts w:ascii="Arial" w:hAnsi="Arial" w:cs="Arial"/>
          <w:b/>
          <w:sz w:val="25"/>
          <w:szCs w:val="25"/>
        </w:rPr>
        <w:t>REGIDORA</w:t>
      </w:r>
    </w:p>
    <w:p w:rsidR="00940B35" w:rsidRPr="00777D09" w:rsidRDefault="00940B35" w:rsidP="00777D09">
      <w:pPr>
        <w:spacing w:after="0"/>
        <w:rPr>
          <w:rFonts w:ascii="Arial" w:hAnsi="Arial" w:cs="Arial"/>
          <w:b/>
          <w:sz w:val="25"/>
          <w:szCs w:val="25"/>
        </w:rPr>
      </w:pPr>
    </w:p>
    <w:p w:rsidR="00ED7888" w:rsidRPr="00777D09" w:rsidRDefault="00ED7888" w:rsidP="00777D09">
      <w:pPr>
        <w:spacing w:after="0"/>
        <w:rPr>
          <w:rFonts w:ascii="Arial" w:hAnsi="Arial" w:cs="Arial"/>
          <w:b/>
          <w:sz w:val="25"/>
          <w:szCs w:val="25"/>
        </w:rPr>
      </w:pPr>
    </w:p>
    <w:p w:rsidR="000D7E12" w:rsidRPr="00777D09" w:rsidRDefault="000D7E12" w:rsidP="00777D09">
      <w:pPr>
        <w:spacing w:after="0"/>
        <w:jc w:val="right"/>
        <w:rPr>
          <w:rFonts w:ascii="Arial" w:hAnsi="Arial" w:cs="Arial"/>
          <w:b/>
          <w:sz w:val="25"/>
          <w:szCs w:val="25"/>
        </w:rPr>
      </w:pPr>
      <w:r w:rsidRPr="00777D09">
        <w:rPr>
          <w:rFonts w:ascii="Arial" w:hAnsi="Arial" w:cs="Arial"/>
          <w:b/>
          <w:sz w:val="25"/>
          <w:szCs w:val="25"/>
        </w:rPr>
        <w:t>GABRIEL DURÁN ORTIZ</w:t>
      </w:r>
    </w:p>
    <w:p w:rsidR="000D7E12" w:rsidRPr="00777D09" w:rsidRDefault="000D7E12" w:rsidP="00777D09">
      <w:pPr>
        <w:spacing w:after="0"/>
        <w:jc w:val="right"/>
        <w:rPr>
          <w:rFonts w:ascii="Arial" w:hAnsi="Arial" w:cs="Arial"/>
          <w:b/>
          <w:sz w:val="25"/>
          <w:szCs w:val="25"/>
        </w:rPr>
      </w:pPr>
      <w:r w:rsidRPr="00777D09">
        <w:rPr>
          <w:rFonts w:ascii="Arial" w:hAnsi="Arial" w:cs="Arial"/>
          <w:b/>
          <w:sz w:val="25"/>
          <w:szCs w:val="25"/>
        </w:rPr>
        <w:t>REGIDOR</w:t>
      </w:r>
    </w:p>
    <w:p w:rsidR="00940B35" w:rsidRPr="00777D09" w:rsidRDefault="00940B35" w:rsidP="00777D09">
      <w:pPr>
        <w:spacing w:after="0"/>
        <w:rPr>
          <w:rFonts w:ascii="Arial" w:hAnsi="Arial" w:cs="Arial"/>
          <w:b/>
          <w:sz w:val="25"/>
          <w:szCs w:val="25"/>
        </w:rPr>
      </w:pPr>
    </w:p>
    <w:p w:rsidR="00940B35" w:rsidRPr="00777D09" w:rsidRDefault="00940B35" w:rsidP="00777D09">
      <w:pPr>
        <w:spacing w:after="0"/>
        <w:rPr>
          <w:rFonts w:ascii="Arial" w:hAnsi="Arial" w:cs="Arial"/>
          <w:b/>
          <w:sz w:val="25"/>
          <w:szCs w:val="25"/>
        </w:rPr>
      </w:pPr>
    </w:p>
    <w:p w:rsidR="00940B35" w:rsidRPr="00777D09" w:rsidRDefault="00940B35" w:rsidP="00777D09">
      <w:pPr>
        <w:spacing w:after="0"/>
        <w:rPr>
          <w:rFonts w:ascii="Arial" w:hAnsi="Arial" w:cs="Arial"/>
          <w:b/>
          <w:sz w:val="25"/>
          <w:szCs w:val="25"/>
        </w:rPr>
      </w:pPr>
    </w:p>
    <w:p w:rsidR="000D7E12" w:rsidRPr="00777D09" w:rsidRDefault="000D7E12" w:rsidP="00777D09">
      <w:pPr>
        <w:spacing w:after="0"/>
        <w:rPr>
          <w:rFonts w:ascii="Arial" w:hAnsi="Arial" w:cs="Arial"/>
          <w:b/>
          <w:sz w:val="25"/>
          <w:szCs w:val="25"/>
        </w:rPr>
      </w:pPr>
      <w:r w:rsidRPr="00777D09">
        <w:rPr>
          <w:rFonts w:ascii="Arial" w:hAnsi="Arial" w:cs="Arial"/>
          <w:b/>
          <w:sz w:val="25"/>
          <w:szCs w:val="25"/>
        </w:rPr>
        <w:t>FERNANDA ODETTE RENTERÍA MUÑOZ</w:t>
      </w:r>
    </w:p>
    <w:p w:rsidR="000D7E12" w:rsidRPr="00777D09" w:rsidRDefault="000D7E12" w:rsidP="00777D09">
      <w:pPr>
        <w:spacing w:after="0"/>
        <w:rPr>
          <w:rFonts w:ascii="Arial" w:hAnsi="Arial" w:cs="Arial"/>
          <w:b/>
          <w:sz w:val="25"/>
          <w:szCs w:val="25"/>
        </w:rPr>
      </w:pPr>
      <w:r w:rsidRPr="00777D09">
        <w:rPr>
          <w:rFonts w:ascii="Arial" w:hAnsi="Arial" w:cs="Arial"/>
          <w:b/>
          <w:sz w:val="25"/>
          <w:szCs w:val="25"/>
        </w:rPr>
        <w:t>REGIDORA</w:t>
      </w:r>
    </w:p>
    <w:p w:rsidR="00C63F00" w:rsidRPr="00777D09" w:rsidRDefault="00E81494" w:rsidP="00777D09">
      <w:pPr>
        <w:pStyle w:val="Prrafodelista"/>
        <w:spacing w:after="0"/>
        <w:ind w:left="0"/>
        <w:jc w:val="both"/>
        <w:rPr>
          <w:rFonts w:ascii="Arial" w:hAnsi="Arial" w:cs="Arial"/>
          <w:b/>
          <w:sz w:val="25"/>
          <w:szCs w:val="25"/>
        </w:rPr>
      </w:pPr>
      <w:r w:rsidRPr="00777D09">
        <w:rPr>
          <w:rFonts w:ascii="Arial" w:hAnsi="Arial" w:cs="Arial"/>
          <w:b/>
          <w:sz w:val="25"/>
          <w:szCs w:val="25"/>
          <w:lang w:val="es-ES_tradnl" w:eastAsia="es-ES"/>
        </w:rPr>
        <w:br w:type="page"/>
      </w:r>
      <w:r w:rsidR="00C17748" w:rsidRPr="00777D09">
        <w:rPr>
          <w:rFonts w:ascii="Arial" w:hAnsi="Arial" w:cs="Arial"/>
          <w:b/>
          <w:spacing w:val="-4"/>
          <w:sz w:val="25"/>
          <w:szCs w:val="25"/>
        </w:rPr>
        <w:lastRenderedPageBreak/>
        <w:t xml:space="preserve">OBSERVACIONES </w:t>
      </w:r>
      <w:r w:rsidR="00BA611E">
        <w:rPr>
          <w:rFonts w:ascii="Arial" w:hAnsi="Arial" w:cs="Arial"/>
          <w:b/>
          <w:spacing w:val="-4"/>
          <w:sz w:val="25"/>
          <w:szCs w:val="25"/>
        </w:rPr>
        <w:t xml:space="preserve">DE REFORMAS Y </w:t>
      </w:r>
      <w:r w:rsidR="00F05AFB">
        <w:rPr>
          <w:rFonts w:ascii="Arial" w:hAnsi="Arial" w:cs="Arial"/>
          <w:b/>
          <w:spacing w:val="-4"/>
          <w:sz w:val="25"/>
          <w:szCs w:val="25"/>
        </w:rPr>
        <w:t>ADICIONES A DIVERSOS ARTÍCULOS A LA LEY DE RESPONSABILIDAD PATRIMONIAL DEL ESTADO Y LOS MUNICI</w:t>
      </w:r>
      <w:r w:rsidR="00D85830">
        <w:rPr>
          <w:rFonts w:ascii="Arial" w:hAnsi="Arial" w:cs="Arial"/>
          <w:b/>
          <w:spacing w:val="-4"/>
          <w:sz w:val="25"/>
          <w:szCs w:val="25"/>
        </w:rPr>
        <w:t>PIOS Y REFORMA A LA FRACCIÓN III</w:t>
      </w:r>
      <w:r w:rsidR="00F05AFB">
        <w:rPr>
          <w:rFonts w:ascii="Arial" w:hAnsi="Arial" w:cs="Arial"/>
          <w:b/>
          <w:spacing w:val="-4"/>
          <w:sz w:val="25"/>
          <w:szCs w:val="25"/>
        </w:rPr>
        <w:t xml:space="preserve"> DEL ARTÍCULO 25 DE LA LEY ORGÁNICA DEL TRIBUNAL DE JUSTICIA ADMINISTRATIVA DEL ESTADO DE GUANAJUATO</w:t>
      </w:r>
      <w:r w:rsidR="009B6E78" w:rsidRPr="00777D09">
        <w:rPr>
          <w:rFonts w:ascii="Arial" w:hAnsi="Arial" w:cs="Arial"/>
          <w:b/>
          <w:spacing w:val="-4"/>
          <w:sz w:val="25"/>
          <w:szCs w:val="25"/>
        </w:rPr>
        <w:t>:</w:t>
      </w:r>
    </w:p>
    <w:p w:rsidR="006300D1" w:rsidRPr="00777D09" w:rsidRDefault="006300D1" w:rsidP="00777D09">
      <w:pPr>
        <w:autoSpaceDE w:val="0"/>
        <w:autoSpaceDN w:val="0"/>
        <w:adjustRightInd w:val="0"/>
        <w:spacing w:after="0"/>
        <w:jc w:val="both"/>
        <w:rPr>
          <w:rFonts w:ascii="Arial" w:hAnsi="Arial" w:cs="Arial"/>
          <w:sz w:val="25"/>
          <w:szCs w:val="25"/>
        </w:rPr>
      </w:pPr>
    </w:p>
    <w:p w:rsidR="002E31D5" w:rsidRDefault="007B31D8" w:rsidP="00F05AFB">
      <w:pPr>
        <w:jc w:val="both"/>
        <w:rPr>
          <w:rFonts w:ascii="Arial" w:hAnsi="Arial" w:cs="Arial"/>
          <w:color w:val="000000"/>
          <w:sz w:val="25"/>
          <w:szCs w:val="25"/>
        </w:rPr>
      </w:pPr>
      <w:r w:rsidRPr="00777D09">
        <w:rPr>
          <w:rFonts w:ascii="Arial" w:hAnsi="Arial" w:cs="Arial"/>
          <w:color w:val="000000"/>
          <w:sz w:val="25"/>
          <w:szCs w:val="25"/>
        </w:rPr>
        <w:t>Este Ayuntamiento coincide con el objetivo principal de</w:t>
      </w:r>
      <w:r w:rsidR="002E31D5" w:rsidRPr="00777D09">
        <w:rPr>
          <w:rFonts w:ascii="Arial" w:hAnsi="Arial" w:cs="Arial"/>
          <w:color w:val="000000"/>
          <w:sz w:val="25"/>
          <w:szCs w:val="25"/>
        </w:rPr>
        <w:t xml:space="preserve"> </w:t>
      </w:r>
      <w:r w:rsidRPr="00777D09">
        <w:rPr>
          <w:rFonts w:ascii="Arial" w:hAnsi="Arial" w:cs="Arial"/>
          <w:color w:val="000000"/>
          <w:sz w:val="25"/>
          <w:szCs w:val="25"/>
        </w:rPr>
        <w:t>l</w:t>
      </w:r>
      <w:r w:rsidR="002E31D5" w:rsidRPr="00777D09">
        <w:rPr>
          <w:rFonts w:ascii="Arial" w:hAnsi="Arial" w:cs="Arial"/>
          <w:color w:val="000000"/>
          <w:sz w:val="25"/>
          <w:szCs w:val="25"/>
        </w:rPr>
        <w:t xml:space="preserve">os </w:t>
      </w:r>
      <w:r w:rsidRPr="00777D09">
        <w:rPr>
          <w:rFonts w:ascii="Arial" w:hAnsi="Arial" w:cs="Arial"/>
          <w:color w:val="000000"/>
          <w:sz w:val="25"/>
          <w:szCs w:val="25"/>
        </w:rPr>
        <w:t>iniciante</w:t>
      </w:r>
      <w:r w:rsidR="002E31D5" w:rsidRPr="00777D09">
        <w:rPr>
          <w:rFonts w:ascii="Arial" w:hAnsi="Arial" w:cs="Arial"/>
          <w:color w:val="000000"/>
          <w:sz w:val="25"/>
          <w:szCs w:val="25"/>
        </w:rPr>
        <w:t>s</w:t>
      </w:r>
      <w:r w:rsidR="00DC33A9" w:rsidRPr="00777D09">
        <w:rPr>
          <w:rFonts w:ascii="Arial" w:hAnsi="Arial" w:cs="Arial"/>
          <w:color w:val="000000"/>
          <w:sz w:val="25"/>
          <w:szCs w:val="25"/>
        </w:rPr>
        <w:t xml:space="preserve"> </w:t>
      </w:r>
      <w:r w:rsidR="00F05AFB">
        <w:rPr>
          <w:rFonts w:ascii="Arial" w:hAnsi="Arial" w:cs="Arial"/>
          <w:color w:val="000000"/>
          <w:sz w:val="25"/>
          <w:szCs w:val="25"/>
        </w:rPr>
        <w:t>toda vez que se lograría llenar un vacío legal dentro del procedimiento de Responsabilidad Patrimonial, logrando con estas adiciones dar certeza del medio de defensa contra las resoluciones del mismo.</w:t>
      </w:r>
    </w:p>
    <w:p w:rsidR="00F108D3" w:rsidRDefault="00CF2240" w:rsidP="00CF2240">
      <w:pPr>
        <w:jc w:val="both"/>
        <w:rPr>
          <w:rFonts w:ascii="Arial" w:hAnsi="Arial" w:cs="Arial"/>
          <w:color w:val="000000"/>
          <w:sz w:val="26"/>
          <w:szCs w:val="26"/>
        </w:rPr>
      </w:pPr>
      <w:r>
        <w:rPr>
          <w:rFonts w:ascii="Arial" w:hAnsi="Arial" w:cs="Arial"/>
          <w:color w:val="000000"/>
          <w:sz w:val="25"/>
          <w:szCs w:val="25"/>
        </w:rPr>
        <w:t xml:space="preserve">Se sugiere considerar que el medio de impugnación no sólo sea para el justiciable, como se desprende de la redacción propuesta, sino que el recurso de revisión que se pretende sea para las partes de manera genérica, ya que de establecerse de </w:t>
      </w:r>
      <w:r w:rsidRPr="00F108D3">
        <w:rPr>
          <w:rFonts w:ascii="Arial" w:hAnsi="Arial" w:cs="Arial"/>
          <w:color w:val="000000"/>
          <w:sz w:val="25"/>
          <w:szCs w:val="25"/>
        </w:rPr>
        <w:t>esa manera se estaría imposibilitando a las autoridades (Municipio) a ac</w:t>
      </w:r>
      <w:r w:rsidR="00F108D3" w:rsidRPr="00F108D3">
        <w:rPr>
          <w:rFonts w:ascii="Arial" w:hAnsi="Arial" w:cs="Arial"/>
          <w:color w:val="000000"/>
          <w:sz w:val="25"/>
          <w:szCs w:val="25"/>
        </w:rPr>
        <w:t xml:space="preserve">ceder a dicho medio de defensa, esto con fundamento en el principio de </w:t>
      </w:r>
      <w:r w:rsidR="00F108D3">
        <w:rPr>
          <w:rFonts w:ascii="Arial" w:hAnsi="Arial" w:cs="Arial"/>
          <w:sz w:val="26"/>
          <w:szCs w:val="26"/>
        </w:rPr>
        <w:t>igualdad procesal</w:t>
      </w:r>
      <w:r w:rsidR="00F108D3" w:rsidRPr="00F108D3">
        <w:rPr>
          <w:rFonts w:ascii="Arial" w:hAnsi="Arial" w:cs="Arial"/>
          <w:sz w:val="26"/>
          <w:szCs w:val="26"/>
        </w:rPr>
        <w:t xml:space="preserve"> el </w:t>
      </w:r>
      <w:r w:rsidR="00F108D3" w:rsidRPr="00F108D3">
        <w:rPr>
          <w:rFonts w:ascii="Arial" w:hAnsi="Arial" w:cs="Arial"/>
          <w:color w:val="000000"/>
          <w:sz w:val="26"/>
          <w:szCs w:val="26"/>
        </w:rPr>
        <w:t>cual , refiere esencialmente a que las partes tendrán los mismos derechos e idénticas expectativas, pos</w:t>
      </w:r>
      <w:r w:rsidR="00F108D3">
        <w:rPr>
          <w:rFonts w:ascii="Arial" w:hAnsi="Arial" w:cs="Arial"/>
          <w:color w:val="000000"/>
          <w:sz w:val="26"/>
          <w:szCs w:val="26"/>
        </w:rPr>
        <w:t>ibilidades y cargas procesales.</w:t>
      </w:r>
    </w:p>
    <w:p w:rsidR="00CF2240" w:rsidRDefault="00CF2240" w:rsidP="00CF2240">
      <w:pPr>
        <w:jc w:val="both"/>
        <w:rPr>
          <w:rFonts w:ascii="Arial" w:hAnsi="Arial" w:cs="Arial"/>
          <w:color w:val="000000"/>
          <w:sz w:val="25"/>
          <w:szCs w:val="25"/>
        </w:rPr>
      </w:pPr>
      <w:r>
        <w:rPr>
          <w:rFonts w:ascii="Arial" w:hAnsi="Arial" w:cs="Arial"/>
          <w:color w:val="000000"/>
          <w:sz w:val="25"/>
          <w:szCs w:val="25"/>
        </w:rPr>
        <w:t>De igual forma, no hay que dejar de lado que las resoluciones que emita el Tribunal de Justicia Administrativa también pueden ser perjudiciales para los Municipios y, en su caso se estaría imposibilitando la oportunidad de recurrir las resoluciones que el Tribunal llegare a emitir, cuando éstas sean excesivas o deficientes.</w:t>
      </w:r>
    </w:p>
    <w:p w:rsidR="00AB472B" w:rsidRDefault="00AB472B" w:rsidP="00AB472B">
      <w:pPr>
        <w:jc w:val="both"/>
        <w:rPr>
          <w:rFonts w:ascii="Arial" w:hAnsi="Arial" w:cs="Arial"/>
          <w:color w:val="000000"/>
          <w:sz w:val="25"/>
          <w:szCs w:val="25"/>
        </w:rPr>
      </w:pPr>
      <w:r>
        <w:rPr>
          <w:rFonts w:ascii="Arial" w:hAnsi="Arial" w:cs="Arial"/>
          <w:color w:val="000000"/>
          <w:sz w:val="25"/>
          <w:szCs w:val="25"/>
        </w:rPr>
        <w:t>En tales condiciones y derivado del análisis realizado, se hacen las siguientes observaciones</w:t>
      </w:r>
      <w:r w:rsidRPr="00AB472B">
        <w:rPr>
          <w:rFonts w:ascii="Arial" w:hAnsi="Arial" w:cs="Arial"/>
          <w:color w:val="000000"/>
          <w:sz w:val="25"/>
          <w:szCs w:val="25"/>
        </w:rPr>
        <w:t xml:space="preserve"> </w:t>
      </w:r>
      <w:r>
        <w:rPr>
          <w:rFonts w:ascii="Arial" w:hAnsi="Arial" w:cs="Arial"/>
          <w:color w:val="000000"/>
          <w:sz w:val="25"/>
          <w:szCs w:val="25"/>
        </w:rPr>
        <w:t>a la Ley de Responsabilidad Patrimonial del Estado y los Municipios:</w:t>
      </w:r>
    </w:p>
    <w:p w:rsidR="00AB472B" w:rsidRDefault="00AB472B" w:rsidP="00AB472B">
      <w:pPr>
        <w:jc w:val="both"/>
        <w:rPr>
          <w:rFonts w:ascii="Arial" w:hAnsi="Arial" w:cs="Arial"/>
          <w:b/>
          <w:color w:val="000000"/>
          <w:sz w:val="25"/>
          <w:szCs w:val="25"/>
        </w:rPr>
      </w:pPr>
      <w:r>
        <w:rPr>
          <w:rFonts w:ascii="Arial" w:hAnsi="Arial" w:cs="Arial"/>
          <w:b/>
          <w:color w:val="000000"/>
          <w:sz w:val="25"/>
          <w:szCs w:val="25"/>
        </w:rPr>
        <w:t>En lo General.</w:t>
      </w:r>
    </w:p>
    <w:p w:rsidR="00AB472B" w:rsidRDefault="00CF2240" w:rsidP="00AB472B">
      <w:pPr>
        <w:jc w:val="both"/>
        <w:rPr>
          <w:rFonts w:ascii="Arial" w:hAnsi="Arial" w:cs="Arial"/>
          <w:color w:val="000000"/>
          <w:sz w:val="25"/>
          <w:szCs w:val="25"/>
        </w:rPr>
      </w:pPr>
      <w:r>
        <w:rPr>
          <w:rFonts w:ascii="Arial" w:hAnsi="Arial" w:cs="Arial"/>
          <w:color w:val="000000"/>
          <w:sz w:val="25"/>
          <w:szCs w:val="25"/>
        </w:rPr>
        <w:t>S</w:t>
      </w:r>
      <w:r w:rsidR="00977B7C">
        <w:rPr>
          <w:rFonts w:ascii="Arial" w:hAnsi="Arial" w:cs="Arial"/>
          <w:color w:val="000000"/>
          <w:sz w:val="25"/>
          <w:szCs w:val="25"/>
        </w:rPr>
        <w:t>e sugiere establecer con precisión en los artículos que se adicionan</w:t>
      </w:r>
      <w:r w:rsidR="00F24D8C">
        <w:rPr>
          <w:rFonts w:ascii="Arial" w:hAnsi="Arial" w:cs="Arial"/>
          <w:color w:val="000000"/>
          <w:sz w:val="25"/>
          <w:szCs w:val="25"/>
        </w:rPr>
        <w:t>,</w:t>
      </w:r>
      <w:r w:rsidR="00977B7C">
        <w:rPr>
          <w:rFonts w:ascii="Arial" w:hAnsi="Arial" w:cs="Arial"/>
          <w:color w:val="000000"/>
          <w:sz w:val="25"/>
          <w:szCs w:val="25"/>
        </w:rPr>
        <w:t xml:space="preserve"> los supuestos </w:t>
      </w:r>
      <w:r w:rsidR="00F24D8C">
        <w:rPr>
          <w:rFonts w:ascii="Arial" w:hAnsi="Arial" w:cs="Arial"/>
          <w:color w:val="000000"/>
          <w:sz w:val="25"/>
          <w:szCs w:val="25"/>
        </w:rPr>
        <w:t xml:space="preserve">también </w:t>
      </w:r>
      <w:r w:rsidR="00977B7C">
        <w:rPr>
          <w:rFonts w:ascii="Arial" w:hAnsi="Arial" w:cs="Arial"/>
          <w:color w:val="000000"/>
          <w:sz w:val="25"/>
          <w:szCs w:val="25"/>
        </w:rPr>
        <w:t>para cuando la resolución pueda ser emitida por autoridad administrativa municipal, puesto que la propuesta enfatiza sobre las resoluciones emitidas por la Sala del propio Tribunal, dejando un vacío en los trámites ante Juzgado Municipal.</w:t>
      </w:r>
    </w:p>
    <w:p w:rsidR="00977B7C" w:rsidRDefault="00977B7C" w:rsidP="00AB472B">
      <w:pPr>
        <w:jc w:val="both"/>
        <w:rPr>
          <w:rFonts w:ascii="Arial" w:hAnsi="Arial" w:cs="Arial"/>
          <w:b/>
          <w:color w:val="000000"/>
          <w:sz w:val="25"/>
          <w:szCs w:val="25"/>
        </w:rPr>
      </w:pPr>
    </w:p>
    <w:p w:rsidR="00AB472B" w:rsidRDefault="00AB472B" w:rsidP="00AB472B">
      <w:pPr>
        <w:jc w:val="both"/>
        <w:rPr>
          <w:rFonts w:ascii="Arial" w:hAnsi="Arial" w:cs="Arial"/>
          <w:b/>
          <w:color w:val="000000"/>
          <w:sz w:val="25"/>
          <w:szCs w:val="25"/>
        </w:rPr>
      </w:pPr>
      <w:r>
        <w:rPr>
          <w:rFonts w:ascii="Arial" w:hAnsi="Arial" w:cs="Arial"/>
          <w:b/>
          <w:color w:val="000000"/>
          <w:sz w:val="25"/>
          <w:szCs w:val="25"/>
        </w:rPr>
        <w:lastRenderedPageBreak/>
        <w:t>En lo particular.</w:t>
      </w:r>
    </w:p>
    <w:p w:rsidR="00FA1833" w:rsidRPr="00FA1833" w:rsidRDefault="00F05AFB" w:rsidP="00F03873">
      <w:pPr>
        <w:pStyle w:val="Prrafodelista"/>
        <w:numPr>
          <w:ilvl w:val="0"/>
          <w:numId w:val="38"/>
        </w:numPr>
        <w:jc w:val="both"/>
        <w:rPr>
          <w:rFonts w:ascii="Arial" w:hAnsi="Arial" w:cs="Arial"/>
          <w:i/>
          <w:sz w:val="25"/>
          <w:szCs w:val="25"/>
        </w:rPr>
      </w:pPr>
      <w:r w:rsidRPr="00F03873">
        <w:rPr>
          <w:rFonts w:ascii="Arial" w:hAnsi="Arial" w:cs="Arial"/>
          <w:sz w:val="25"/>
          <w:szCs w:val="25"/>
        </w:rPr>
        <w:t xml:space="preserve">Respecto al artículo 35 bis, </w:t>
      </w:r>
    </w:p>
    <w:p w:rsidR="008E0EA9" w:rsidRDefault="001A562A" w:rsidP="00FA1833">
      <w:pPr>
        <w:pStyle w:val="Prrafodelista"/>
        <w:jc w:val="both"/>
        <w:rPr>
          <w:rFonts w:ascii="Arial" w:hAnsi="Arial" w:cs="Arial"/>
          <w:sz w:val="25"/>
          <w:szCs w:val="25"/>
        </w:rPr>
      </w:pPr>
      <w:r>
        <w:rPr>
          <w:rFonts w:ascii="Arial" w:hAnsi="Arial" w:cs="Arial"/>
          <w:sz w:val="25"/>
          <w:szCs w:val="25"/>
        </w:rPr>
        <w:t>En el primer párrafo</w:t>
      </w:r>
      <w:r w:rsidR="008E0EA9">
        <w:rPr>
          <w:rFonts w:ascii="Arial" w:hAnsi="Arial" w:cs="Arial"/>
          <w:sz w:val="25"/>
          <w:szCs w:val="25"/>
        </w:rPr>
        <w:t xml:space="preserve"> se sugiere establecer que podrán impugnarse las resoluciones emitidas por las Salas del Tribunal de Justicia Administrativa del Estado de Guanajuato o de la </w:t>
      </w:r>
      <w:r w:rsidR="008E0EA9" w:rsidRPr="008E0EA9">
        <w:rPr>
          <w:rFonts w:ascii="Arial" w:hAnsi="Arial" w:cs="Arial"/>
          <w:i/>
          <w:sz w:val="25"/>
          <w:szCs w:val="25"/>
        </w:rPr>
        <w:t>autoridad administrativa</w:t>
      </w:r>
      <w:r w:rsidR="008E0EA9">
        <w:rPr>
          <w:rFonts w:ascii="Arial" w:hAnsi="Arial" w:cs="Arial"/>
          <w:sz w:val="25"/>
          <w:szCs w:val="25"/>
        </w:rPr>
        <w:t>, sin embargo se considera debe señalarse en lugar de esta última a “</w:t>
      </w:r>
      <w:proofErr w:type="gramStart"/>
      <w:r w:rsidR="008E0EA9">
        <w:rPr>
          <w:rFonts w:ascii="Arial" w:hAnsi="Arial" w:cs="Arial"/>
          <w:sz w:val="25"/>
          <w:szCs w:val="25"/>
        </w:rPr>
        <w:t>..</w:t>
      </w:r>
      <w:proofErr w:type="gramEnd"/>
      <w:r w:rsidR="008E0EA9" w:rsidRPr="008E0EA9">
        <w:rPr>
          <w:rFonts w:ascii="Arial" w:hAnsi="Arial" w:cs="Arial"/>
          <w:i/>
          <w:sz w:val="25"/>
          <w:szCs w:val="25"/>
        </w:rPr>
        <w:t>del Juzgado Administrativo Municipal”</w:t>
      </w:r>
      <w:r w:rsidR="008E0EA9">
        <w:rPr>
          <w:rFonts w:ascii="Arial" w:hAnsi="Arial" w:cs="Arial"/>
          <w:sz w:val="25"/>
          <w:szCs w:val="25"/>
        </w:rPr>
        <w:t xml:space="preserve"> esto para dar congruencia con la concurrencia establecida en el último párrafo del artículo 21 de la propia Ley.</w:t>
      </w:r>
    </w:p>
    <w:p w:rsidR="008E0EA9" w:rsidRDefault="008E0EA9" w:rsidP="00FA1833">
      <w:pPr>
        <w:pStyle w:val="Prrafodelista"/>
        <w:jc w:val="both"/>
        <w:rPr>
          <w:rFonts w:ascii="Arial" w:hAnsi="Arial" w:cs="Arial"/>
          <w:sz w:val="25"/>
          <w:szCs w:val="25"/>
        </w:rPr>
      </w:pPr>
    </w:p>
    <w:p w:rsidR="00C66B41" w:rsidRDefault="008E0EA9" w:rsidP="00FA1833">
      <w:pPr>
        <w:pStyle w:val="Prrafodelista"/>
        <w:jc w:val="both"/>
        <w:rPr>
          <w:rFonts w:ascii="Arial" w:hAnsi="Arial" w:cs="Arial"/>
          <w:sz w:val="25"/>
          <w:szCs w:val="25"/>
        </w:rPr>
      </w:pPr>
      <w:r>
        <w:rPr>
          <w:rFonts w:ascii="Arial" w:hAnsi="Arial" w:cs="Arial"/>
          <w:sz w:val="25"/>
          <w:szCs w:val="25"/>
        </w:rPr>
        <w:t xml:space="preserve">En ese orden de ideas, se establece </w:t>
      </w:r>
      <w:r w:rsidR="00FA1833">
        <w:rPr>
          <w:rFonts w:ascii="Arial" w:hAnsi="Arial" w:cs="Arial"/>
          <w:sz w:val="25"/>
          <w:szCs w:val="25"/>
        </w:rPr>
        <w:t>que el recurso de revisión</w:t>
      </w:r>
      <w:r w:rsidR="004E0FBB">
        <w:rPr>
          <w:rFonts w:ascii="Arial" w:hAnsi="Arial" w:cs="Arial"/>
          <w:sz w:val="25"/>
          <w:szCs w:val="25"/>
        </w:rPr>
        <w:t xml:space="preserve"> que</w:t>
      </w:r>
      <w:r w:rsidR="00FA1833">
        <w:rPr>
          <w:rFonts w:ascii="Arial" w:hAnsi="Arial" w:cs="Arial"/>
          <w:sz w:val="25"/>
          <w:szCs w:val="25"/>
        </w:rPr>
        <w:t xml:space="preserve"> se interponga será en </w:t>
      </w:r>
      <w:r w:rsidR="00C66B41">
        <w:rPr>
          <w:rFonts w:ascii="Arial" w:hAnsi="Arial" w:cs="Arial"/>
          <w:sz w:val="25"/>
          <w:szCs w:val="25"/>
        </w:rPr>
        <w:t>“</w:t>
      </w:r>
      <w:r w:rsidR="00FA1833">
        <w:rPr>
          <w:rFonts w:ascii="Arial" w:hAnsi="Arial" w:cs="Arial"/>
          <w:sz w:val="25"/>
          <w:szCs w:val="25"/>
        </w:rPr>
        <w:t>vía jurisdiccional</w:t>
      </w:r>
      <w:r w:rsidR="00C66B41">
        <w:rPr>
          <w:rFonts w:ascii="Arial" w:hAnsi="Arial" w:cs="Arial"/>
          <w:sz w:val="25"/>
          <w:szCs w:val="25"/>
        </w:rPr>
        <w:t>”</w:t>
      </w:r>
      <w:r w:rsidR="00FA1833">
        <w:rPr>
          <w:rFonts w:ascii="Arial" w:hAnsi="Arial" w:cs="Arial"/>
          <w:sz w:val="25"/>
          <w:szCs w:val="25"/>
        </w:rPr>
        <w:t>, por lo que se</w:t>
      </w:r>
      <w:r w:rsidR="00C66B41">
        <w:rPr>
          <w:rFonts w:ascii="Arial" w:hAnsi="Arial" w:cs="Arial"/>
          <w:sz w:val="25"/>
          <w:szCs w:val="25"/>
        </w:rPr>
        <w:t xml:space="preserve"> sugiere eliminar dicha referencia, considerando</w:t>
      </w:r>
      <w:r w:rsidR="00FA1833">
        <w:rPr>
          <w:rFonts w:ascii="Arial" w:hAnsi="Arial" w:cs="Arial"/>
          <w:sz w:val="25"/>
          <w:szCs w:val="25"/>
        </w:rPr>
        <w:t xml:space="preserve"> </w:t>
      </w:r>
      <w:r w:rsidR="00C66B41">
        <w:rPr>
          <w:rFonts w:ascii="Arial" w:hAnsi="Arial" w:cs="Arial"/>
          <w:sz w:val="25"/>
          <w:szCs w:val="25"/>
        </w:rPr>
        <w:t>que podría generar confusión, puesto que, al</w:t>
      </w:r>
      <w:r w:rsidR="00FA1833">
        <w:rPr>
          <w:rFonts w:ascii="Arial" w:hAnsi="Arial" w:cs="Arial"/>
          <w:sz w:val="25"/>
          <w:szCs w:val="25"/>
        </w:rPr>
        <w:t xml:space="preserve"> tratarse de un procedimien</w:t>
      </w:r>
      <w:r w:rsidR="00C66B41">
        <w:rPr>
          <w:rFonts w:ascii="Arial" w:hAnsi="Arial" w:cs="Arial"/>
          <w:sz w:val="25"/>
          <w:szCs w:val="25"/>
        </w:rPr>
        <w:t>to especial no existe vía diversa para dicho medio de impugnación.</w:t>
      </w:r>
    </w:p>
    <w:p w:rsidR="003159D8" w:rsidRDefault="003159D8" w:rsidP="00FA1833">
      <w:pPr>
        <w:pStyle w:val="Prrafodelista"/>
        <w:jc w:val="both"/>
        <w:rPr>
          <w:rFonts w:ascii="Arial" w:hAnsi="Arial" w:cs="Arial"/>
          <w:sz w:val="25"/>
          <w:szCs w:val="25"/>
        </w:rPr>
      </w:pPr>
    </w:p>
    <w:p w:rsidR="002C733D" w:rsidRDefault="00C66B41" w:rsidP="00FA1833">
      <w:pPr>
        <w:pStyle w:val="Prrafodelista"/>
        <w:jc w:val="both"/>
        <w:rPr>
          <w:rFonts w:ascii="Arial" w:hAnsi="Arial" w:cs="Arial"/>
          <w:sz w:val="25"/>
          <w:szCs w:val="25"/>
        </w:rPr>
      </w:pPr>
      <w:r>
        <w:rPr>
          <w:rFonts w:ascii="Arial" w:hAnsi="Arial" w:cs="Arial"/>
          <w:sz w:val="25"/>
          <w:szCs w:val="25"/>
        </w:rPr>
        <w:t>En el segundo párrafo,</w:t>
      </w:r>
      <w:r w:rsidR="00F05AFB" w:rsidRPr="00F03873">
        <w:rPr>
          <w:rFonts w:ascii="Arial" w:hAnsi="Arial" w:cs="Arial"/>
          <w:sz w:val="25"/>
          <w:szCs w:val="25"/>
        </w:rPr>
        <w:t xml:space="preserve"> </w:t>
      </w:r>
      <w:r>
        <w:rPr>
          <w:rFonts w:ascii="Arial" w:hAnsi="Arial" w:cs="Arial"/>
          <w:sz w:val="25"/>
          <w:szCs w:val="25"/>
        </w:rPr>
        <w:t>s</w:t>
      </w:r>
      <w:r w:rsidR="00F05AFB" w:rsidRPr="00F03873">
        <w:rPr>
          <w:rFonts w:ascii="Arial" w:hAnsi="Arial" w:cs="Arial"/>
          <w:sz w:val="25"/>
          <w:szCs w:val="25"/>
        </w:rPr>
        <w:t xml:space="preserve">e </w:t>
      </w:r>
      <w:r w:rsidR="00AC1471" w:rsidRPr="00F03873">
        <w:rPr>
          <w:rFonts w:ascii="Arial" w:hAnsi="Arial" w:cs="Arial"/>
          <w:sz w:val="25"/>
          <w:szCs w:val="25"/>
        </w:rPr>
        <w:t>establece que el recurso de revisión se interpondrá ante el Tribunal de Justicia Administrativa, sin embargo, se sugiere precisar que dicho recurso se interponga ante la autoridad que emitió la resolución</w:t>
      </w:r>
      <w:r>
        <w:rPr>
          <w:rFonts w:ascii="Arial" w:hAnsi="Arial" w:cs="Arial"/>
          <w:sz w:val="25"/>
          <w:szCs w:val="25"/>
        </w:rPr>
        <w:t>, considerando que</w:t>
      </w:r>
      <w:r w:rsidR="004E0FBB">
        <w:rPr>
          <w:rFonts w:ascii="Arial" w:hAnsi="Arial" w:cs="Arial"/>
          <w:sz w:val="25"/>
          <w:szCs w:val="25"/>
        </w:rPr>
        <w:t xml:space="preserve"> la autoridad </w:t>
      </w:r>
      <w:proofErr w:type="spellStart"/>
      <w:r w:rsidR="004E0FBB">
        <w:rPr>
          <w:rFonts w:ascii="Arial" w:hAnsi="Arial" w:cs="Arial"/>
          <w:sz w:val="25"/>
          <w:szCs w:val="25"/>
        </w:rPr>
        <w:t>resolutora</w:t>
      </w:r>
      <w:proofErr w:type="spellEnd"/>
      <w:r w:rsidR="004E0FBB">
        <w:rPr>
          <w:rFonts w:ascii="Arial" w:hAnsi="Arial" w:cs="Arial"/>
          <w:sz w:val="25"/>
          <w:szCs w:val="25"/>
        </w:rPr>
        <w:t xml:space="preserve"> pueda</w:t>
      </w:r>
      <w:r>
        <w:rPr>
          <w:rFonts w:ascii="Arial" w:hAnsi="Arial" w:cs="Arial"/>
          <w:sz w:val="25"/>
          <w:szCs w:val="25"/>
        </w:rPr>
        <w:t xml:space="preserve"> ser </w:t>
      </w:r>
      <w:r w:rsidR="004E0FBB">
        <w:rPr>
          <w:rFonts w:ascii="Arial" w:hAnsi="Arial" w:cs="Arial"/>
          <w:sz w:val="25"/>
          <w:szCs w:val="25"/>
        </w:rPr>
        <w:t>una</w:t>
      </w:r>
      <w:r>
        <w:rPr>
          <w:rFonts w:ascii="Arial" w:hAnsi="Arial" w:cs="Arial"/>
          <w:sz w:val="25"/>
          <w:szCs w:val="25"/>
        </w:rPr>
        <w:t xml:space="preserve"> Sala del Tribunal o </w:t>
      </w:r>
      <w:r w:rsidR="004E0FBB">
        <w:rPr>
          <w:rFonts w:ascii="Arial" w:hAnsi="Arial" w:cs="Arial"/>
          <w:sz w:val="25"/>
          <w:szCs w:val="25"/>
        </w:rPr>
        <w:t>un</w:t>
      </w:r>
      <w:r>
        <w:rPr>
          <w:rFonts w:ascii="Arial" w:hAnsi="Arial" w:cs="Arial"/>
          <w:sz w:val="25"/>
          <w:szCs w:val="25"/>
        </w:rPr>
        <w:t xml:space="preserve"> Juzgado Administrativo Municipal.</w:t>
      </w:r>
    </w:p>
    <w:p w:rsidR="003159D8" w:rsidRPr="00F03873" w:rsidRDefault="003159D8" w:rsidP="00FA1833">
      <w:pPr>
        <w:pStyle w:val="Prrafodelista"/>
        <w:jc w:val="both"/>
        <w:rPr>
          <w:rFonts w:ascii="Arial" w:hAnsi="Arial" w:cs="Arial"/>
          <w:i/>
          <w:sz w:val="25"/>
          <w:szCs w:val="25"/>
        </w:rPr>
      </w:pPr>
    </w:p>
    <w:p w:rsidR="002C733D" w:rsidRPr="002C733D" w:rsidRDefault="002C733D" w:rsidP="00F05AFB">
      <w:pPr>
        <w:pStyle w:val="Prrafodelista"/>
        <w:numPr>
          <w:ilvl w:val="0"/>
          <w:numId w:val="38"/>
        </w:numPr>
        <w:jc w:val="both"/>
        <w:rPr>
          <w:rFonts w:ascii="Arial" w:hAnsi="Arial" w:cs="Arial"/>
          <w:i/>
          <w:sz w:val="25"/>
          <w:szCs w:val="25"/>
        </w:rPr>
      </w:pPr>
      <w:r>
        <w:rPr>
          <w:rFonts w:ascii="Arial" w:hAnsi="Arial" w:cs="Arial"/>
          <w:sz w:val="25"/>
          <w:szCs w:val="25"/>
        </w:rPr>
        <w:t xml:space="preserve">En cuanto al artículo 35 </w:t>
      </w:r>
      <w:proofErr w:type="spellStart"/>
      <w:r>
        <w:rPr>
          <w:rFonts w:ascii="Arial" w:hAnsi="Arial" w:cs="Arial"/>
          <w:sz w:val="25"/>
          <w:szCs w:val="25"/>
        </w:rPr>
        <w:t>quater</w:t>
      </w:r>
      <w:proofErr w:type="spellEnd"/>
      <w:r>
        <w:rPr>
          <w:rFonts w:ascii="Arial" w:hAnsi="Arial" w:cs="Arial"/>
          <w:sz w:val="25"/>
          <w:szCs w:val="25"/>
        </w:rPr>
        <w:t>, segundo y tercer párrafo. Se sugiere precisar si los plazos de cinco y diez son naturales o hábiles, ello para dar congruencia al plazo establecido en el párrafo segundo del artículo 35 bis, que sí establece que son días hábiles.</w:t>
      </w:r>
    </w:p>
    <w:p w:rsidR="002C733D" w:rsidRDefault="002C733D" w:rsidP="002C733D">
      <w:pPr>
        <w:pStyle w:val="Prrafodelista"/>
        <w:jc w:val="both"/>
        <w:rPr>
          <w:rFonts w:ascii="Arial" w:hAnsi="Arial" w:cs="Arial"/>
          <w:sz w:val="25"/>
          <w:szCs w:val="25"/>
        </w:rPr>
      </w:pPr>
    </w:p>
    <w:p w:rsidR="00F05AFB" w:rsidRDefault="002C733D" w:rsidP="002C733D">
      <w:pPr>
        <w:jc w:val="both"/>
        <w:rPr>
          <w:rFonts w:ascii="Arial" w:hAnsi="Arial" w:cs="Arial"/>
          <w:sz w:val="25"/>
          <w:szCs w:val="25"/>
        </w:rPr>
      </w:pPr>
      <w:r w:rsidRPr="002C733D">
        <w:rPr>
          <w:rFonts w:ascii="Arial" w:hAnsi="Arial" w:cs="Arial"/>
          <w:sz w:val="25"/>
          <w:szCs w:val="25"/>
        </w:rPr>
        <w:t xml:space="preserve">En </w:t>
      </w:r>
      <w:r>
        <w:rPr>
          <w:rFonts w:ascii="Arial" w:hAnsi="Arial" w:cs="Arial"/>
          <w:sz w:val="25"/>
          <w:szCs w:val="25"/>
        </w:rPr>
        <w:t>cuanto a la reforma del artículo III del artículo 25 de la Ley Orgánica del Tribunal de Justicia Administrativa del Estado de Guanajuato.</w:t>
      </w:r>
    </w:p>
    <w:p w:rsidR="002C733D" w:rsidRPr="00AB472B" w:rsidRDefault="00F03873" w:rsidP="00AB472B">
      <w:pPr>
        <w:jc w:val="both"/>
        <w:rPr>
          <w:rFonts w:ascii="Arial" w:hAnsi="Arial" w:cs="Arial"/>
          <w:sz w:val="25"/>
          <w:szCs w:val="25"/>
        </w:rPr>
      </w:pPr>
      <w:r>
        <w:rPr>
          <w:rFonts w:ascii="Arial" w:hAnsi="Arial" w:cs="Arial"/>
          <w:sz w:val="25"/>
          <w:szCs w:val="25"/>
        </w:rPr>
        <w:t xml:space="preserve">De la propuesta se desprende </w:t>
      </w:r>
      <w:r w:rsidR="00AB472B">
        <w:rPr>
          <w:rFonts w:ascii="Arial" w:hAnsi="Arial" w:cs="Arial"/>
          <w:sz w:val="25"/>
          <w:szCs w:val="25"/>
        </w:rPr>
        <w:t xml:space="preserve">el concepto </w:t>
      </w:r>
      <w:r>
        <w:rPr>
          <w:rFonts w:ascii="Arial" w:hAnsi="Arial" w:cs="Arial"/>
          <w:sz w:val="25"/>
          <w:szCs w:val="25"/>
        </w:rPr>
        <w:t>de</w:t>
      </w:r>
      <w:r w:rsidR="00AB472B">
        <w:rPr>
          <w:rFonts w:ascii="Arial" w:hAnsi="Arial" w:cs="Arial"/>
          <w:sz w:val="25"/>
          <w:szCs w:val="25"/>
        </w:rPr>
        <w:t xml:space="preserve"> “reclamación patrimonial” </w:t>
      </w:r>
      <w:r>
        <w:rPr>
          <w:rFonts w:ascii="Arial" w:hAnsi="Arial" w:cs="Arial"/>
          <w:sz w:val="25"/>
          <w:szCs w:val="25"/>
        </w:rPr>
        <w:t xml:space="preserve">sin por lo que se sugiere precisar cuál es la definición o a qué se refiere el mismo, </w:t>
      </w:r>
      <w:r w:rsidR="00463130">
        <w:rPr>
          <w:rFonts w:ascii="Arial" w:hAnsi="Arial" w:cs="Arial"/>
          <w:sz w:val="25"/>
          <w:szCs w:val="25"/>
        </w:rPr>
        <w:t>puesto que,</w:t>
      </w:r>
      <w:r>
        <w:rPr>
          <w:rFonts w:ascii="Arial" w:hAnsi="Arial" w:cs="Arial"/>
          <w:sz w:val="25"/>
          <w:szCs w:val="25"/>
        </w:rPr>
        <w:t xml:space="preserve"> dentro </w:t>
      </w:r>
      <w:r w:rsidR="00AB472B">
        <w:rPr>
          <w:rFonts w:ascii="Arial" w:hAnsi="Arial" w:cs="Arial"/>
          <w:sz w:val="25"/>
          <w:szCs w:val="25"/>
        </w:rPr>
        <w:t xml:space="preserve">de la Ley </w:t>
      </w:r>
      <w:r w:rsidR="00AB472B">
        <w:rPr>
          <w:rFonts w:ascii="Arial" w:hAnsi="Arial" w:cs="Arial"/>
          <w:color w:val="000000"/>
          <w:sz w:val="25"/>
          <w:szCs w:val="25"/>
        </w:rPr>
        <w:t xml:space="preserve">de Responsabilidad Patrimonial del Estado y los Municipios, </w:t>
      </w:r>
      <w:r>
        <w:rPr>
          <w:rFonts w:ascii="Arial" w:hAnsi="Arial" w:cs="Arial"/>
          <w:color w:val="000000"/>
          <w:sz w:val="25"/>
          <w:szCs w:val="25"/>
        </w:rPr>
        <w:t>no se hace alusión a dicho concepto, siendo únicamente existentes el de “</w:t>
      </w:r>
      <w:r w:rsidR="00AB472B" w:rsidRPr="00AB472B">
        <w:rPr>
          <w:rFonts w:ascii="Arial" w:hAnsi="Arial" w:cs="Arial"/>
          <w:i/>
          <w:color w:val="000000"/>
          <w:sz w:val="25"/>
          <w:szCs w:val="25"/>
        </w:rPr>
        <w:t>reclamación de indemnización”</w:t>
      </w:r>
      <w:r w:rsidR="00AB472B">
        <w:rPr>
          <w:rFonts w:ascii="Arial" w:hAnsi="Arial" w:cs="Arial"/>
          <w:color w:val="000000"/>
          <w:sz w:val="25"/>
          <w:szCs w:val="25"/>
        </w:rPr>
        <w:t xml:space="preserve"> o </w:t>
      </w:r>
      <w:r w:rsidR="00AB472B" w:rsidRPr="00AB472B">
        <w:rPr>
          <w:rFonts w:ascii="Arial" w:hAnsi="Arial" w:cs="Arial"/>
          <w:i/>
          <w:color w:val="000000"/>
          <w:sz w:val="25"/>
          <w:szCs w:val="25"/>
        </w:rPr>
        <w:t>“responsabilidad patrimonial”</w:t>
      </w:r>
      <w:r>
        <w:rPr>
          <w:rFonts w:ascii="Arial" w:hAnsi="Arial" w:cs="Arial"/>
          <w:i/>
          <w:color w:val="000000"/>
          <w:sz w:val="25"/>
          <w:szCs w:val="25"/>
        </w:rPr>
        <w:t>.</w:t>
      </w:r>
    </w:p>
    <w:sectPr w:rsidR="002C733D" w:rsidRPr="00AB472B" w:rsidSect="002E31D5">
      <w:headerReference w:type="even" r:id="rId7"/>
      <w:headerReference w:type="default" r:id="rId8"/>
      <w:footerReference w:type="default" r:id="rId9"/>
      <w:headerReference w:type="first" r:id="rId10"/>
      <w:pgSz w:w="12240" w:h="15840"/>
      <w:pgMar w:top="1843"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BB5" w:rsidRDefault="00266BB5" w:rsidP="00435D05">
      <w:pPr>
        <w:spacing w:after="0" w:line="240" w:lineRule="auto"/>
      </w:pPr>
      <w:r>
        <w:separator/>
      </w:r>
    </w:p>
  </w:endnote>
  <w:endnote w:type="continuationSeparator" w:id="0">
    <w:p w:rsidR="00266BB5" w:rsidRDefault="00266BB5"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2442E1" w:rsidRPr="002442E1">
      <w:rPr>
        <w:rFonts w:ascii="Arial" w:hAnsi="Arial" w:cs="Arial"/>
      </w:rPr>
      <w:t>iniciativa de</w:t>
    </w:r>
    <w:r w:rsidR="00BA611E">
      <w:rPr>
        <w:rFonts w:ascii="Arial" w:hAnsi="Arial" w:cs="Arial"/>
      </w:rPr>
      <w:t xml:space="preserve"> reformas y</w:t>
    </w:r>
    <w:r w:rsidR="002442E1" w:rsidRPr="002442E1">
      <w:rPr>
        <w:rFonts w:ascii="Arial" w:hAnsi="Arial" w:cs="Arial"/>
      </w:rPr>
      <w:t xml:space="preserve"> </w:t>
    </w:r>
    <w:r w:rsidR="00D85830">
      <w:rPr>
        <w:rFonts w:ascii="Arial" w:hAnsi="Arial" w:cs="Arial"/>
      </w:rPr>
      <w:t>adiciones a diversos artículos a la Ley de Responsabilidad Patrimonial del Estado y los Municipios y reforma a la fracción III del artículo 25 de la Ley Orgánica del Tribunal de Justicia Administrativa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BB5" w:rsidRDefault="00266BB5" w:rsidP="00435D05">
      <w:pPr>
        <w:spacing w:after="0" w:line="240" w:lineRule="auto"/>
      </w:pPr>
      <w:r>
        <w:separator/>
      </w:r>
    </w:p>
  </w:footnote>
  <w:footnote w:type="continuationSeparator" w:id="0">
    <w:p w:rsidR="00266BB5" w:rsidRDefault="00266BB5"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266BB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266BB5"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266BB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57524C"/>
    <w:multiLevelType w:val="hybridMultilevel"/>
    <w:tmpl w:val="4F3078DA"/>
    <w:lvl w:ilvl="0" w:tplc="3634C3E2">
      <w:start w:val="1"/>
      <w:numFmt w:val="lowerLetter"/>
      <w:lvlText w:val="%1)"/>
      <w:lvlJc w:val="left"/>
      <w:pPr>
        <w:ind w:left="720" w:hanging="360"/>
      </w:pPr>
      <w:rPr>
        <w:rFonts w:hint="default"/>
        <w:i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0"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2"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6"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7" w15:restartNumberingAfterBreak="0">
    <w:nsid w:val="7DEA5494"/>
    <w:multiLevelType w:val="hybridMultilevel"/>
    <w:tmpl w:val="33A6E826"/>
    <w:lvl w:ilvl="0" w:tplc="080A0017">
      <w:start w:val="1"/>
      <w:numFmt w:val="lowerLetter"/>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3"/>
  </w:num>
  <w:num w:numId="2">
    <w:abstractNumId w:val="16"/>
  </w:num>
  <w:num w:numId="3">
    <w:abstractNumId w:val="34"/>
  </w:num>
  <w:num w:numId="4">
    <w:abstractNumId w:val="11"/>
  </w:num>
  <w:num w:numId="5">
    <w:abstractNumId w:val="38"/>
  </w:num>
  <w:num w:numId="6">
    <w:abstractNumId w:val="10"/>
  </w:num>
  <w:num w:numId="7">
    <w:abstractNumId w:val="0"/>
  </w:num>
  <w:num w:numId="8">
    <w:abstractNumId w:val="21"/>
  </w:num>
  <w:num w:numId="9">
    <w:abstractNumId w:val="22"/>
  </w:num>
  <w:num w:numId="10">
    <w:abstractNumId w:val="24"/>
  </w:num>
  <w:num w:numId="11">
    <w:abstractNumId w:val="19"/>
  </w:num>
  <w:num w:numId="12">
    <w:abstractNumId w:val="3"/>
  </w:num>
  <w:num w:numId="13">
    <w:abstractNumId w:val="12"/>
  </w:num>
  <w:num w:numId="14">
    <w:abstractNumId w:val="6"/>
  </w:num>
  <w:num w:numId="15">
    <w:abstractNumId w:val="17"/>
  </w:num>
  <w:num w:numId="16">
    <w:abstractNumId w:val="31"/>
  </w:num>
  <w:num w:numId="17">
    <w:abstractNumId w:val="14"/>
  </w:num>
  <w:num w:numId="18">
    <w:abstractNumId w:val="5"/>
  </w:num>
  <w:num w:numId="19">
    <w:abstractNumId w:val="35"/>
  </w:num>
  <w:num w:numId="20">
    <w:abstractNumId w:val="7"/>
  </w:num>
  <w:num w:numId="21">
    <w:abstractNumId w:val="4"/>
  </w:num>
  <w:num w:numId="22">
    <w:abstractNumId w:val="36"/>
  </w:num>
  <w:num w:numId="23">
    <w:abstractNumId w:val="29"/>
  </w:num>
  <w:num w:numId="24">
    <w:abstractNumId w:val="25"/>
  </w:num>
  <w:num w:numId="25">
    <w:abstractNumId w:val="28"/>
  </w:num>
  <w:num w:numId="26">
    <w:abstractNumId w:val="8"/>
  </w:num>
  <w:num w:numId="27">
    <w:abstractNumId w:val="23"/>
  </w:num>
  <w:num w:numId="28">
    <w:abstractNumId w:val="2"/>
  </w:num>
  <w:num w:numId="29">
    <w:abstractNumId w:val="27"/>
  </w:num>
  <w:num w:numId="30">
    <w:abstractNumId w:val="20"/>
  </w:num>
  <w:num w:numId="31">
    <w:abstractNumId w:val="13"/>
  </w:num>
  <w:num w:numId="32">
    <w:abstractNumId w:val="1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2"/>
  </w:num>
  <w:num w:numId="36">
    <w:abstractNumId w:val="9"/>
  </w:num>
  <w:num w:numId="37">
    <w:abstractNumId w:val="18"/>
  </w:num>
  <w:num w:numId="38">
    <w:abstractNumId w:val="26"/>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A562A"/>
    <w:rsid w:val="001B014E"/>
    <w:rsid w:val="001B1843"/>
    <w:rsid w:val="001B5F6A"/>
    <w:rsid w:val="001C4293"/>
    <w:rsid w:val="001E2552"/>
    <w:rsid w:val="001F4441"/>
    <w:rsid w:val="0020349C"/>
    <w:rsid w:val="00206958"/>
    <w:rsid w:val="00212F54"/>
    <w:rsid w:val="0021617A"/>
    <w:rsid w:val="00217A1E"/>
    <w:rsid w:val="002442E1"/>
    <w:rsid w:val="002526A4"/>
    <w:rsid w:val="00256B4C"/>
    <w:rsid w:val="00266BB5"/>
    <w:rsid w:val="002678A0"/>
    <w:rsid w:val="00284762"/>
    <w:rsid w:val="00286296"/>
    <w:rsid w:val="00287616"/>
    <w:rsid w:val="00291AA5"/>
    <w:rsid w:val="00297833"/>
    <w:rsid w:val="002A61DB"/>
    <w:rsid w:val="002B657D"/>
    <w:rsid w:val="002C4D40"/>
    <w:rsid w:val="002C733D"/>
    <w:rsid w:val="002D54A7"/>
    <w:rsid w:val="002D7274"/>
    <w:rsid w:val="002E31D5"/>
    <w:rsid w:val="003060B4"/>
    <w:rsid w:val="003117A4"/>
    <w:rsid w:val="00311A44"/>
    <w:rsid w:val="003159D8"/>
    <w:rsid w:val="003209B0"/>
    <w:rsid w:val="00324A86"/>
    <w:rsid w:val="00325772"/>
    <w:rsid w:val="00355379"/>
    <w:rsid w:val="0035631B"/>
    <w:rsid w:val="0036342B"/>
    <w:rsid w:val="00364BAF"/>
    <w:rsid w:val="003655F4"/>
    <w:rsid w:val="00367578"/>
    <w:rsid w:val="00367A13"/>
    <w:rsid w:val="00377800"/>
    <w:rsid w:val="003843C8"/>
    <w:rsid w:val="003847CA"/>
    <w:rsid w:val="0038631C"/>
    <w:rsid w:val="0039330B"/>
    <w:rsid w:val="0039510A"/>
    <w:rsid w:val="00396FCF"/>
    <w:rsid w:val="003A73B5"/>
    <w:rsid w:val="003B13B2"/>
    <w:rsid w:val="003B5953"/>
    <w:rsid w:val="003B6F21"/>
    <w:rsid w:val="003B7295"/>
    <w:rsid w:val="003C04D2"/>
    <w:rsid w:val="003C274D"/>
    <w:rsid w:val="003C2EC2"/>
    <w:rsid w:val="003D0ECC"/>
    <w:rsid w:val="003D3550"/>
    <w:rsid w:val="003D382F"/>
    <w:rsid w:val="003D5844"/>
    <w:rsid w:val="003D6AB2"/>
    <w:rsid w:val="003E5989"/>
    <w:rsid w:val="003F504F"/>
    <w:rsid w:val="003F6057"/>
    <w:rsid w:val="00400756"/>
    <w:rsid w:val="0040354B"/>
    <w:rsid w:val="00411843"/>
    <w:rsid w:val="00415DAB"/>
    <w:rsid w:val="0042224D"/>
    <w:rsid w:val="00427F62"/>
    <w:rsid w:val="00430347"/>
    <w:rsid w:val="00431AEE"/>
    <w:rsid w:val="00434BB8"/>
    <w:rsid w:val="00435D05"/>
    <w:rsid w:val="0043628D"/>
    <w:rsid w:val="00442ABC"/>
    <w:rsid w:val="00446CEC"/>
    <w:rsid w:val="00452DFC"/>
    <w:rsid w:val="0046132F"/>
    <w:rsid w:val="004627D6"/>
    <w:rsid w:val="00463130"/>
    <w:rsid w:val="00466D01"/>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0FBB"/>
    <w:rsid w:val="004E4531"/>
    <w:rsid w:val="004F04C7"/>
    <w:rsid w:val="004F1220"/>
    <w:rsid w:val="004F6B4C"/>
    <w:rsid w:val="004F7040"/>
    <w:rsid w:val="00501B8F"/>
    <w:rsid w:val="00504F01"/>
    <w:rsid w:val="00516844"/>
    <w:rsid w:val="00525199"/>
    <w:rsid w:val="00530C6A"/>
    <w:rsid w:val="005315B2"/>
    <w:rsid w:val="005322FE"/>
    <w:rsid w:val="00533548"/>
    <w:rsid w:val="00533C07"/>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C1676"/>
    <w:rsid w:val="005C4A4A"/>
    <w:rsid w:val="005C6119"/>
    <w:rsid w:val="005D419F"/>
    <w:rsid w:val="005E5767"/>
    <w:rsid w:val="005E7B9F"/>
    <w:rsid w:val="005F2976"/>
    <w:rsid w:val="005F7DD9"/>
    <w:rsid w:val="006006E8"/>
    <w:rsid w:val="0060320D"/>
    <w:rsid w:val="00612EEC"/>
    <w:rsid w:val="00614D40"/>
    <w:rsid w:val="006300D1"/>
    <w:rsid w:val="00632A06"/>
    <w:rsid w:val="00633B02"/>
    <w:rsid w:val="00637378"/>
    <w:rsid w:val="00640711"/>
    <w:rsid w:val="00642C2A"/>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6F4DAC"/>
    <w:rsid w:val="00703F96"/>
    <w:rsid w:val="00704D80"/>
    <w:rsid w:val="00707EBE"/>
    <w:rsid w:val="00713035"/>
    <w:rsid w:val="007153DD"/>
    <w:rsid w:val="00715F6F"/>
    <w:rsid w:val="007315ED"/>
    <w:rsid w:val="00733D0D"/>
    <w:rsid w:val="00741F77"/>
    <w:rsid w:val="00744EC8"/>
    <w:rsid w:val="0075072C"/>
    <w:rsid w:val="00751191"/>
    <w:rsid w:val="00756AAC"/>
    <w:rsid w:val="007667B8"/>
    <w:rsid w:val="007734FF"/>
    <w:rsid w:val="00777D09"/>
    <w:rsid w:val="00793A1C"/>
    <w:rsid w:val="007A005E"/>
    <w:rsid w:val="007A2D59"/>
    <w:rsid w:val="007A59FF"/>
    <w:rsid w:val="007A72D1"/>
    <w:rsid w:val="007B31D8"/>
    <w:rsid w:val="007B7F97"/>
    <w:rsid w:val="007C0B32"/>
    <w:rsid w:val="007C39A8"/>
    <w:rsid w:val="007D0D19"/>
    <w:rsid w:val="007D66E9"/>
    <w:rsid w:val="007E63D1"/>
    <w:rsid w:val="007F5AE3"/>
    <w:rsid w:val="00800765"/>
    <w:rsid w:val="00802E69"/>
    <w:rsid w:val="008036DE"/>
    <w:rsid w:val="00807465"/>
    <w:rsid w:val="0081300B"/>
    <w:rsid w:val="0082032F"/>
    <w:rsid w:val="00827B81"/>
    <w:rsid w:val="00835BEE"/>
    <w:rsid w:val="008513E8"/>
    <w:rsid w:val="00856DF6"/>
    <w:rsid w:val="0085791F"/>
    <w:rsid w:val="00872174"/>
    <w:rsid w:val="00873328"/>
    <w:rsid w:val="00876C57"/>
    <w:rsid w:val="00883F2B"/>
    <w:rsid w:val="00884156"/>
    <w:rsid w:val="00885D46"/>
    <w:rsid w:val="00890200"/>
    <w:rsid w:val="00892D82"/>
    <w:rsid w:val="008A3343"/>
    <w:rsid w:val="008A33D2"/>
    <w:rsid w:val="008A67A3"/>
    <w:rsid w:val="008C6987"/>
    <w:rsid w:val="008D24E8"/>
    <w:rsid w:val="008D545B"/>
    <w:rsid w:val="008E030F"/>
    <w:rsid w:val="008E0EA9"/>
    <w:rsid w:val="008E7166"/>
    <w:rsid w:val="008F0C31"/>
    <w:rsid w:val="008F4553"/>
    <w:rsid w:val="00902C1F"/>
    <w:rsid w:val="00916CA9"/>
    <w:rsid w:val="00924E4C"/>
    <w:rsid w:val="0092676F"/>
    <w:rsid w:val="00934A8F"/>
    <w:rsid w:val="00940B35"/>
    <w:rsid w:val="00945B86"/>
    <w:rsid w:val="00952848"/>
    <w:rsid w:val="0095517C"/>
    <w:rsid w:val="009573BB"/>
    <w:rsid w:val="00962C30"/>
    <w:rsid w:val="0096382B"/>
    <w:rsid w:val="00970AB2"/>
    <w:rsid w:val="009714B0"/>
    <w:rsid w:val="00972383"/>
    <w:rsid w:val="009763BC"/>
    <w:rsid w:val="00977B7C"/>
    <w:rsid w:val="00984400"/>
    <w:rsid w:val="00985A17"/>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32FE"/>
    <w:rsid w:val="00A06F60"/>
    <w:rsid w:val="00A10141"/>
    <w:rsid w:val="00A2059F"/>
    <w:rsid w:val="00A23A82"/>
    <w:rsid w:val="00A273CE"/>
    <w:rsid w:val="00A3091B"/>
    <w:rsid w:val="00A41652"/>
    <w:rsid w:val="00A42025"/>
    <w:rsid w:val="00A438CF"/>
    <w:rsid w:val="00A43F7B"/>
    <w:rsid w:val="00A446FF"/>
    <w:rsid w:val="00A53C4B"/>
    <w:rsid w:val="00A6019D"/>
    <w:rsid w:val="00A615B6"/>
    <w:rsid w:val="00A6199A"/>
    <w:rsid w:val="00A8099D"/>
    <w:rsid w:val="00A80E09"/>
    <w:rsid w:val="00A82A20"/>
    <w:rsid w:val="00A93B75"/>
    <w:rsid w:val="00A93DC3"/>
    <w:rsid w:val="00AA0B06"/>
    <w:rsid w:val="00AA3139"/>
    <w:rsid w:val="00AA5A83"/>
    <w:rsid w:val="00AA60C8"/>
    <w:rsid w:val="00AB15E4"/>
    <w:rsid w:val="00AB2183"/>
    <w:rsid w:val="00AB3857"/>
    <w:rsid w:val="00AB472B"/>
    <w:rsid w:val="00AB651D"/>
    <w:rsid w:val="00AC1471"/>
    <w:rsid w:val="00AC4935"/>
    <w:rsid w:val="00AD46D9"/>
    <w:rsid w:val="00AE0D6E"/>
    <w:rsid w:val="00AE1A78"/>
    <w:rsid w:val="00AE3770"/>
    <w:rsid w:val="00AE4B7F"/>
    <w:rsid w:val="00AE5A3D"/>
    <w:rsid w:val="00AF35DD"/>
    <w:rsid w:val="00AF55B2"/>
    <w:rsid w:val="00B004DF"/>
    <w:rsid w:val="00B1333A"/>
    <w:rsid w:val="00B15D19"/>
    <w:rsid w:val="00B2418C"/>
    <w:rsid w:val="00B26291"/>
    <w:rsid w:val="00B26999"/>
    <w:rsid w:val="00B274C2"/>
    <w:rsid w:val="00B27DD3"/>
    <w:rsid w:val="00B45C2B"/>
    <w:rsid w:val="00B6068D"/>
    <w:rsid w:val="00B62D86"/>
    <w:rsid w:val="00B6330A"/>
    <w:rsid w:val="00B63B57"/>
    <w:rsid w:val="00B726D4"/>
    <w:rsid w:val="00B8008B"/>
    <w:rsid w:val="00B80582"/>
    <w:rsid w:val="00B86048"/>
    <w:rsid w:val="00B94C07"/>
    <w:rsid w:val="00B96290"/>
    <w:rsid w:val="00B971C5"/>
    <w:rsid w:val="00BA1B4B"/>
    <w:rsid w:val="00BA407A"/>
    <w:rsid w:val="00BA4540"/>
    <w:rsid w:val="00BA611E"/>
    <w:rsid w:val="00BB13C1"/>
    <w:rsid w:val="00BB202B"/>
    <w:rsid w:val="00BB6066"/>
    <w:rsid w:val="00BB7C53"/>
    <w:rsid w:val="00BD0232"/>
    <w:rsid w:val="00BD4DC3"/>
    <w:rsid w:val="00BE174E"/>
    <w:rsid w:val="00BE5C25"/>
    <w:rsid w:val="00BE7F42"/>
    <w:rsid w:val="00C00624"/>
    <w:rsid w:val="00C06208"/>
    <w:rsid w:val="00C1168B"/>
    <w:rsid w:val="00C11B73"/>
    <w:rsid w:val="00C136DE"/>
    <w:rsid w:val="00C14911"/>
    <w:rsid w:val="00C14A5C"/>
    <w:rsid w:val="00C17748"/>
    <w:rsid w:val="00C27C80"/>
    <w:rsid w:val="00C31910"/>
    <w:rsid w:val="00C35A12"/>
    <w:rsid w:val="00C36D53"/>
    <w:rsid w:val="00C50DFB"/>
    <w:rsid w:val="00C63F00"/>
    <w:rsid w:val="00C654C6"/>
    <w:rsid w:val="00C656EC"/>
    <w:rsid w:val="00C66B41"/>
    <w:rsid w:val="00C70949"/>
    <w:rsid w:val="00C72BC4"/>
    <w:rsid w:val="00C760B9"/>
    <w:rsid w:val="00C8008C"/>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2240"/>
    <w:rsid w:val="00CF6F96"/>
    <w:rsid w:val="00D05CDE"/>
    <w:rsid w:val="00D05D65"/>
    <w:rsid w:val="00D216F8"/>
    <w:rsid w:val="00D315C5"/>
    <w:rsid w:val="00D35F1D"/>
    <w:rsid w:val="00D3755B"/>
    <w:rsid w:val="00D379EE"/>
    <w:rsid w:val="00D45D74"/>
    <w:rsid w:val="00D57DFA"/>
    <w:rsid w:val="00D6039B"/>
    <w:rsid w:val="00D621E5"/>
    <w:rsid w:val="00D62F81"/>
    <w:rsid w:val="00D71B0B"/>
    <w:rsid w:val="00D73A4A"/>
    <w:rsid w:val="00D74366"/>
    <w:rsid w:val="00D804CE"/>
    <w:rsid w:val="00D85830"/>
    <w:rsid w:val="00D85E9A"/>
    <w:rsid w:val="00D96C0A"/>
    <w:rsid w:val="00DA4539"/>
    <w:rsid w:val="00DB1A6E"/>
    <w:rsid w:val="00DC33A9"/>
    <w:rsid w:val="00DD0212"/>
    <w:rsid w:val="00DD36A1"/>
    <w:rsid w:val="00DD4B40"/>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F95"/>
    <w:rsid w:val="00E651D9"/>
    <w:rsid w:val="00E656BC"/>
    <w:rsid w:val="00E656ED"/>
    <w:rsid w:val="00E748F4"/>
    <w:rsid w:val="00E81494"/>
    <w:rsid w:val="00E847EC"/>
    <w:rsid w:val="00E90635"/>
    <w:rsid w:val="00E97C30"/>
    <w:rsid w:val="00EA2F7C"/>
    <w:rsid w:val="00EB1BD8"/>
    <w:rsid w:val="00EB23B5"/>
    <w:rsid w:val="00EB5A68"/>
    <w:rsid w:val="00EB6AFA"/>
    <w:rsid w:val="00EC0DCF"/>
    <w:rsid w:val="00EC5382"/>
    <w:rsid w:val="00EC7463"/>
    <w:rsid w:val="00ED2BD4"/>
    <w:rsid w:val="00ED35FB"/>
    <w:rsid w:val="00ED6330"/>
    <w:rsid w:val="00ED7858"/>
    <w:rsid w:val="00ED7888"/>
    <w:rsid w:val="00EE3FCD"/>
    <w:rsid w:val="00EE48B6"/>
    <w:rsid w:val="00EF0200"/>
    <w:rsid w:val="00EF32C9"/>
    <w:rsid w:val="00EF5D20"/>
    <w:rsid w:val="00F03873"/>
    <w:rsid w:val="00F05AFB"/>
    <w:rsid w:val="00F108D3"/>
    <w:rsid w:val="00F1179D"/>
    <w:rsid w:val="00F12C02"/>
    <w:rsid w:val="00F16506"/>
    <w:rsid w:val="00F2269D"/>
    <w:rsid w:val="00F235D7"/>
    <w:rsid w:val="00F24D8C"/>
    <w:rsid w:val="00F27075"/>
    <w:rsid w:val="00F35A7B"/>
    <w:rsid w:val="00F42C91"/>
    <w:rsid w:val="00F42EA1"/>
    <w:rsid w:val="00F461E1"/>
    <w:rsid w:val="00F51CE0"/>
    <w:rsid w:val="00F520DC"/>
    <w:rsid w:val="00F559BC"/>
    <w:rsid w:val="00F74F0F"/>
    <w:rsid w:val="00F91F67"/>
    <w:rsid w:val="00F9372F"/>
    <w:rsid w:val="00FA1833"/>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1247</Words>
  <Characters>6860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Iliana Navarro Pedroza</cp:lastModifiedBy>
  <cp:revision>4</cp:revision>
  <cp:lastPrinted>2020-01-15T16:57:00Z</cp:lastPrinted>
  <dcterms:created xsi:type="dcterms:W3CDTF">2020-02-14T20:08:00Z</dcterms:created>
  <dcterms:modified xsi:type="dcterms:W3CDTF">2020-02-25T21:06:00Z</dcterms:modified>
</cp:coreProperties>
</file>