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209AA" w14:textId="77777777" w:rsidR="009E3AE9" w:rsidRPr="00897E0D" w:rsidRDefault="009E3AE9" w:rsidP="00C75D74">
      <w:pPr>
        <w:jc w:val="both"/>
        <w:outlineLvl w:val="0"/>
        <w:rPr>
          <w:rFonts w:ascii="Century Gothic" w:hAnsi="Century Gothic" w:cs="Arial"/>
          <w:b/>
          <w:lang w:val="es-MX"/>
        </w:rPr>
      </w:pPr>
    </w:p>
    <w:p w14:paraId="2AA995D3" w14:textId="77777777" w:rsidR="009E3AE9" w:rsidRPr="00897E0D" w:rsidRDefault="009E3AE9" w:rsidP="00C75D74">
      <w:pPr>
        <w:jc w:val="both"/>
        <w:outlineLvl w:val="0"/>
        <w:rPr>
          <w:rFonts w:ascii="Arial" w:hAnsi="Arial" w:cs="Arial"/>
          <w:b/>
          <w:lang w:val="es-MX"/>
        </w:rPr>
      </w:pPr>
    </w:p>
    <w:p w14:paraId="76249272" w14:textId="77777777" w:rsidR="00C75D74" w:rsidRPr="00897E0D" w:rsidRDefault="00C75D74" w:rsidP="00C75D74">
      <w:pPr>
        <w:jc w:val="both"/>
        <w:outlineLvl w:val="0"/>
        <w:rPr>
          <w:rFonts w:ascii="Arial" w:hAnsi="Arial" w:cs="Arial"/>
          <w:b/>
          <w:lang w:val="es-MX"/>
        </w:rPr>
      </w:pPr>
      <w:r w:rsidRPr="00897E0D">
        <w:rPr>
          <w:rFonts w:ascii="Arial" w:hAnsi="Arial" w:cs="Arial"/>
          <w:b/>
          <w:lang w:val="es-MX"/>
        </w:rPr>
        <w:t>H. AYUNTAMIENTO DE LEÓN, GUANAJUATO</w:t>
      </w:r>
    </w:p>
    <w:p w14:paraId="74130623" w14:textId="77777777" w:rsidR="00C75D74" w:rsidRPr="00897E0D" w:rsidRDefault="00C75D74" w:rsidP="00C75D74">
      <w:pPr>
        <w:jc w:val="both"/>
        <w:outlineLvl w:val="0"/>
        <w:rPr>
          <w:rFonts w:ascii="Arial" w:hAnsi="Arial" w:cs="Arial"/>
          <w:b/>
          <w:lang w:val="es-MX"/>
        </w:rPr>
      </w:pPr>
      <w:r w:rsidRPr="00897E0D">
        <w:rPr>
          <w:rFonts w:ascii="Arial" w:hAnsi="Arial" w:cs="Arial"/>
          <w:b/>
          <w:lang w:val="es-MX"/>
        </w:rPr>
        <w:t>P R E S E N T E</w:t>
      </w:r>
    </w:p>
    <w:p w14:paraId="18DF6E1E" w14:textId="77777777" w:rsidR="00C75D74" w:rsidRPr="00897E0D" w:rsidRDefault="00C75D74" w:rsidP="00C75D74">
      <w:pPr>
        <w:jc w:val="both"/>
        <w:rPr>
          <w:rFonts w:ascii="Arial" w:hAnsi="Arial" w:cs="Arial"/>
          <w:lang w:val="es-MX"/>
        </w:rPr>
      </w:pPr>
    </w:p>
    <w:p w14:paraId="46E59C0A" w14:textId="77777777" w:rsidR="009E3AE9" w:rsidRPr="00897E0D" w:rsidRDefault="009E3AE9" w:rsidP="00C75D74">
      <w:pPr>
        <w:jc w:val="both"/>
        <w:rPr>
          <w:rFonts w:ascii="Arial" w:hAnsi="Arial" w:cs="Arial"/>
          <w:lang w:val="es-MX"/>
        </w:rPr>
      </w:pPr>
    </w:p>
    <w:p w14:paraId="4E90430C" w14:textId="04838A7E" w:rsidR="00C75D74" w:rsidRPr="00897E0D" w:rsidRDefault="00C75D74" w:rsidP="00C75D74">
      <w:pPr>
        <w:jc w:val="both"/>
        <w:rPr>
          <w:rFonts w:ascii="Arial" w:hAnsi="Arial" w:cs="Arial"/>
          <w:lang w:val="es-MX"/>
        </w:rPr>
      </w:pPr>
      <w:r w:rsidRPr="00897E0D">
        <w:rPr>
          <w:rFonts w:ascii="Arial" w:hAnsi="Arial" w:cs="Arial"/>
          <w:lang w:val="es-MX"/>
        </w:rPr>
        <w:t xml:space="preserve">Los suscritos integrantes de la </w:t>
      </w:r>
      <w:r w:rsidRPr="00897E0D">
        <w:rPr>
          <w:rFonts w:ascii="Arial" w:hAnsi="Arial" w:cs="Arial"/>
          <w:b/>
          <w:lang w:val="es-MX"/>
        </w:rPr>
        <w:t>C</w:t>
      </w:r>
      <w:r w:rsidR="008D5454" w:rsidRPr="00897E0D">
        <w:rPr>
          <w:rFonts w:ascii="Arial" w:hAnsi="Arial" w:cs="Arial"/>
          <w:b/>
          <w:lang w:val="es-MX"/>
        </w:rPr>
        <w:t>omisión de Desarrollo Económico</w:t>
      </w:r>
      <w:r w:rsidR="007A4DC6" w:rsidRPr="00897E0D">
        <w:rPr>
          <w:rFonts w:ascii="Arial" w:hAnsi="Arial" w:cs="Arial"/>
          <w:b/>
          <w:lang w:val="es-MX"/>
        </w:rPr>
        <w:t>, Innovación y Turismo</w:t>
      </w:r>
      <w:r w:rsidRPr="00897E0D">
        <w:rPr>
          <w:rFonts w:ascii="Arial" w:hAnsi="Arial" w:cs="Arial"/>
          <w:lang w:val="es-MX"/>
        </w:rPr>
        <w:t>, con fundamento en los artículos 81 de la Ley Orgánica Municipal para el Estado</w:t>
      </w:r>
      <w:r w:rsidR="00754035" w:rsidRPr="00897E0D">
        <w:rPr>
          <w:rFonts w:ascii="Arial" w:hAnsi="Arial" w:cs="Arial"/>
          <w:lang w:val="es-MX"/>
        </w:rPr>
        <w:t xml:space="preserve"> </w:t>
      </w:r>
      <w:r w:rsidRPr="00897E0D">
        <w:rPr>
          <w:rFonts w:ascii="Arial" w:hAnsi="Arial" w:cs="Arial"/>
          <w:lang w:val="es-MX"/>
        </w:rPr>
        <w:t>de</w:t>
      </w:r>
      <w:r w:rsidR="00754035" w:rsidRPr="00897E0D">
        <w:rPr>
          <w:rFonts w:ascii="Arial" w:hAnsi="Arial" w:cs="Arial"/>
          <w:lang w:val="es-MX"/>
        </w:rPr>
        <w:t xml:space="preserve"> </w:t>
      </w:r>
      <w:r w:rsidRPr="00897E0D">
        <w:rPr>
          <w:rFonts w:ascii="Arial" w:hAnsi="Arial" w:cs="Arial"/>
          <w:lang w:val="es-MX"/>
        </w:rPr>
        <w:t>Guanajuato</w:t>
      </w:r>
      <w:r w:rsidR="00475537" w:rsidRPr="00897E0D">
        <w:rPr>
          <w:rFonts w:ascii="Arial" w:hAnsi="Arial" w:cs="Arial"/>
          <w:lang w:val="es-MX"/>
        </w:rPr>
        <w:t>;</w:t>
      </w:r>
      <w:r w:rsidR="00754035" w:rsidRPr="00897E0D">
        <w:rPr>
          <w:rFonts w:ascii="Arial" w:hAnsi="Arial" w:cs="Arial"/>
          <w:lang w:val="es-MX"/>
        </w:rPr>
        <w:t xml:space="preserve"> </w:t>
      </w:r>
      <w:r w:rsidR="002838E4" w:rsidRPr="00897E0D">
        <w:rPr>
          <w:rFonts w:ascii="Arial" w:hAnsi="Arial" w:cs="Arial"/>
          <w:lang w:val="es-MX"/>
        </w:rPr>
        <w:t>50</w:t>
      </w:r>
      <w:r w:rsidRPr="00897E0D">
        <w:rPr>
          <w:rFonts w:ascii="Arial" w:hAnsi="Arial" w:cs="Arial"/>
          <w:lang w:val="es-MX"/>
        </w:rPr>
        <w:t>,</w:t>
      </w:r>
      <w:r w:rsidR="00754035" w:rsidRPr="00897E0D">
        <w:rPr>
          <w:rFonts w:ascii="Arial" w:hAnsi="Arial" w:cs="Arial"/>
          <w:lang w:val="es-MX"/>
        </w:rPr>
        <w:t xml:space="preserve"> </w:t>
      </w:r>
      <w:r w:rsidR="002838E4" w:rsidRPr="00897E0D">
        <w:rPr>
          <w:rFonts w:ascii="Arial" w:hAnsi="Arial" w:cs="Arial"/>
          <w:lang w:val="es-MX"/>
        </w:rPr>
        <w:t>66</w:t>
      </w:r>
      <w:r w:rsidRPr="00897E0D">
        <w:rPr>
          <w:rFonts w:ascii="Arial" w:hAnsi="Arial" w:cs="Arial"/>
          <w:lang w:val="es-MX"/>
        </w:rPr>
        <w:t>,</w:t>
      </w:r>
      <w:r w:rsidR="00754035" w:rsidRPr="00897E0D">
        <w:rPr>
          <w:rFonts w:ascii="Arial" w:hAnsi="Arial" w:cs="Arial"/>
          <w:lang w:val="es-MX"/>
        </w:rPr>
        <w:t xml:space="preserve"> </w:t>
      </w:r>
      <w:r w:rsidR="002838E4" w:rsidRPr="00897E0D">
        <w:rPr>
          <w:rFonts w:ascii="Arial" w:hAnsi="Arial" w:cs="Arial"/>
          <w:lang w:val="es-MX"/>
        </w:rPr>
        <w:t>70</w:t>
      </w:r>
      <w:r w:rsidR="00754035" w:rsidRPr="00897E0D">
        <w:rPr>
          <w:rFonts w:ascii="Arial" w:hAnsi="Arial" w:cs="Arial"/>
          <w:lang w:val="es-MX"/>
        </w:rPr>
        <w:t xml:space="preserve"> </w:t>
      </w:r>
      <w:r w:rsidRPr="00897E0D">
        <w:rPr>
          <w:rFonts w:ascii="Arial" w:hAnsi="Arial" w:cs="Arial"/>
          <w:lang w:val="es-MX"/>
        </w:rPr>
        <w:t>y</w:t>
      </w:r>
      <w:r w:rsidR="00754035" w:rsidRPr="00897E0D">
        <w:rPr>
          <w:rFonts w:ascii="Arial" w:hAnsi="Arial" w:cs="Arial"/>
          <w:lang w:val="es-MX"/>
        </w:rPr>
        <w:t xml:space="preserve"> </w:t>
      </w:r>
      <w:r w:rsidR="002838E4" w:rsidRPr="00897E0D">
        <w:rPr>
          <w:rFonts w:ascii="Arial" w:hAnsi="Arial" w:cs="Arial"/>
          <w:lang w:val="es-MX"/>
        </w:rPr>
        <w:t>7</w:t>
      </w:r>
      <w:r w:rsidRPr="00897E0D">
        <w:rPr>
          <w:rFonts w:ascii="Arial" w:hAnsi="Arial" w:cs="Arial"/>
          <w:lang w:val="es-MX"/>
        </w:rPr>
        <w:t>1 del Reglamento Interior del H. Ayuntamiento de León, Guanajuato; sometemos a consideración de este H. Cuerpo Edilicio la propuesta de acuerdo que se formula al final del presente dictamen, misma que se basa en l</w:t>
      </w:r>
      <w:r w:rsidR="008D406F" w:rsidRPr="00897E0D">
        <w:rPr>
          <w:rFonts w:ascii="Arial" w:hAnsi="Arial" w:cs="Arial"/>
          <w:lang w:val="es-MX"/>
        </w:rPr>
        <w:t>o</w:t>
      </w:r>
      <w:r w:rsidRPr="00897E0D">
        <w:rPr>
          <w:rFonts w:ascii="Arial" w:hAnsi="Arial" w:cs="Arial"/>
          <w:lang w:val="es-MX"/>
        </w:rPr>
        <w:t>s siguientes:</w:t>
      </w:r>
    </w:p>
    <w:p w14:paraId="0F690E83" w14:textId="77777777" w:rsidR="00754035" w:rsidRPr="00897E0D" w:rsidRDefault="00754035" w:rsidP="00C75D74">
      <w:pPr>
        <w:jc w:val="both"/>
        <w:rPr>
          <w:rFonts w:ascii="Arial" w:hAnsi="Arial" w:cs="Arial"/>
          <w:lang w:val="es-MX"/>
        </w:rPr>
      </w:pPr>
    </w:p>
    <w:p w14:paraId="3BF569DE" w14:textId="77777777" w:rsidR="008D406F" w:rsidRPr="00897E0D" w:rsidRDefault="008D406F" w:rsidP="008D406F">
      <w:pPr>
        <w:jc w:val="center"/>
        <w:rPr>
          <w:rFonts w:ascii="Arial" w:hAnsi="Arial" w:cs="Arial"/>
          <w:b/>
          <w:lang w:val="es-MX"/>
        </w:rPr>
      </w:pPr>
      <w:r w:rsidRPr="00897E0D">
        <w:rPr>
          <w:rFonts w:ascii="Arial" w:hAnsi="Arial" w:cs="Arial"/>
          <w:b/>
          <w:lang w:val="es-MX"/>
        </w:rPr>
        <w:t>A N T E C E D E N T E S</w:t>
      </w:r>
    </w:p>
    <w:p w14:paraId="4CD37F83" w14:textId="225121D2" w:rsidR="008D406F" w:rsidRPr="00897E0D" w:rsidRDefault="008D406F" w:rsidP="008D406F">
      <w:pPr>
        <w:jc w:val="both"/>
        <w:rPr>
          <w:rFonts w:ascii="Arial" w:hAnsi="Arial" w:cs="Arial"/>
          <w:lang w:val="es-MX"/>
        </w:rPr>
      </w:pPr>
    </w:p>
    <w:p w14:paraId="276ABCB3" w14:textId="77777777" w:rsidR="008D406F" w:rsidRPr="00897E0D" w:rsidRDefault="008D406F" w:rsidP="008D406F">
      <w:pPr>
        <w:jc w:val="both"/>
        <w:rPr>
          <w:rFonts w:ascii="Arial" w:hAnsi="Arial" w:cs="Arial"/>
          <w:lang w:val="es-MX"/>
        </w:rPr>
      </w:pPr>
      <w:r w:rsidRPr="00897E0D">
        <w:rPr>
          <w:rFonts w:ascii="Arial" w:hAnsi="Arial" w:cs="Arial"/>
          <w:b/>
          <w:bCs/>
          <w:lang w:val="es-MX"/>
        </w:rPr>
        <w:t>I.</w:t>
      </w:r>
      <w:r w:rsidRPr="00897E0D">
        <w:rPr>
          <w:rFonts w:ascii="Arial" w:hAnsi="Arial" w:cs="Arial"/>
          <w:lang w:val="es-MX"/>
        </w:rPr>
        <w:t xml:space="preserve"> En sesión de instalación de la Comisión de Desarrollo Económico, Innovación y Turismo efectuada el día 18 de octubre de la presente anualidad, en asuntos generales, la Dirección General de Economía presentó sus temas pendientes, dentro de los cuales se encontraba la aprobación de 67 expedientes de cesiones de derechos para el ejercicio del servicio público de mercados. </w:t>
      </w:r>
    </w:p>
    <w:p w14:paraId="5EADDA59" w14:textId="77777777" w:rsidR="008D406F" w:rsidRPr="00897E0D" w:rsidRDefault="008D406F" w:rsidP="008D406F">
      <w:pPr>
        <w:jc w:val="both"/>
        <w:rPr>
          <w:rFonts w:ascii="Arial" w:hAnsi="Arial" w:cs="Arial"/>
          <w:lang w:val="es-MX"/>
        </w:rPr>
      </w:pPr>
    </w:p>
    <w:p w14:paraId="1D8B3C2C" w14:textId="48EAF100" w:rsidR="008D406F" w:rsidRPr="00897E0D" w:rsidRDefault="00F06070" w:rsidP="008D406F">
      <w:pPr>
        <w:jc w:val="both"/>
        <w:rPr>
          <w:rFonts w:ascii="Arial" w:hAnsi="Arial" w:cs="Arial"/>
          <w:lang w:val="es-MX"/>
        </w:rPr>
      </w:pPr>
      <w:r w:rsidRPr="00897E0D">
        <w:rPr>
          <w:rFonts w:ascii="Arial" w:hAnsi="Arial" w:cs="Arial"/>
          <w:lang w:val="es-MX"/>
        </w:rPr>
        <w:t>E</w:t>
      </w:r>
      <w:r w:rsidR="008D406F" w:rsidRPr="00897E0D">
        <w:rPr>
          <w:rFonts w:ascii="Arial" w:hAnsi="Arial" w:cs="Arial"/>
          <w:lang w:val="es-MX"/>
        </w:rPr>
        <w:t xml:space="preserve">n atención a ello, el presidente de la comisión y el resto de </w:t>
      </w:r>
      <w:r w:rsidR="00D2055A" w:rsidRPr="00897E0D">
        <w:rPr>
          <w:rFonts w:ascii="Arial" w:hAnsi="Arial" w:cs="Arial"/>
          <w:lang w:val="es-MX"/>
        </w:rPr>
        <w:t xml:space="preserve">los </w:t>
      </w:r>
      <w:r w:rsidR="008D406F" w:rsidRPr="00897E0D">
        <w:rPr>
          <w:rFonts w:ascii="Arial" w:hAnsi="Arial" w:cs="Arial"/>
          <w:lang w:val="es-MX"/>
        </w:rPr>
        <w:t xml:space="preserve">integrantes de </w:t>
      </w:r>
      <w:r w:rsidR="00C745DD" w:rsidRPr="00897E0D">
        <w:rPr>
          <w:rFonts w:ascii="Arial" w:hAnsi="Arial" w:cs="Arial"/>
          <w:lang w:val="es-MX"/>
        </w:rPr>
        <w:t>la misma</w:t>
      </w:r>
      <w:r w:rsidRPr="00897E0D">
        <w:rPr>
          <w:rFonts w:ascii="Arial" w:hAnsi="Arial" w:cs="Arial"/>
          <w:lang w:val="es-MX"/>
        </w:rPr>
        <w:t>,</w:t>
      </w:r>
      <w:r w:rsidR="00C745DD" w:rsidRPr="00897E0D">
        <w:rPr>
          <w:rFonts w:ascii="Arial" w:hAnsi="Arial" w:cs="Arial"/>
          <w:lang w:val="es-MX"/>
        </w:rPr>
        <w:t xml:space="preserve"> instruyeron a la Dirección General de Economía se le diera la atención inmediata al tema, solicitando una mesa de trabajo para que se les explicara sobre el mismo y se revisaran los expedientes, asimismo solicitaron se les remitiera de manera electrónica toda la información correspondiente a cada uno de los 67 expedientes.</w:t>
      </w:r>
    </w:p>
    <w:p w14:paraId="557C223D" w14:textId="163A52AF" w:rsidR="00C745DD" w:rsidRPr="00897E0D" w:rsidRDefault="00C745DD" w:rsidP="008D406F">
      <w:pPr>
        <w:jc w:val="both"/>
        <w:rPr>
          <w:rFonts w:ascii="Arial" w:hAnsi="Arial" w:cs="Arial"/>
          <w:lang w:val="es-MX"/>
        </w:rPr>
      </w:pPr>
    </w:p>
    <w:p w14:paraId="7265F608" w14:textId="5AEAD98E" w:rsidR="008D406F" w:rsidRPr="00897E0D" w:rsidRDefault="00C745DD" w:rsidP="00C75D74">
      <w:pPr>
        <w:jc w:val="both"/>
        <w:rPr>
          <w:rFonts w:ascii="Arial" w:hAnsi="Arial" w:cs="Arial"/>
          <w:lang w:val="es-MX"/>
        </w:rPr>
      </w:pPr>
      <w:r w:rsidRPr="00897E0D">
        <w:rPr>
          <w:rFonts w:ascii="Arial" w:hAnsi="Arial" w:cs="Arial"/>
          <w:lang w:val="es-MX"/>
        </w:rPr>
        <w:t>Derivado de la anterior instrucción, la Dirección General de Apoyo a la Función</w:t>
      </w:r>
      <w:r w:rsidR="00897E0D">
        <w:rPr>
          <w:rFonts w:ascii="Arial" w:hAnsi="Arial" w:cs="Arial"/>
          <w:lang w:val="es-MX"/>
        </w:rPr>
        <w:t xml:space="preserve"> </w:t>
      </w:r>
      <w:r w:rsidRPr="00897E0D">
        <w:rPr>
          <w:rFonts w:ascii="Arial" w:hAnsi="Arial" w:cs="Arial"/>
          <w:lang w:val="es-MX"/>
        </w:rPr>
        <w:t xml:space="preserve">Edilicia, en fecha martes 19 de octubre de 2021, remitió a los ediles integrantes de la comisión la información </w:t>
      </w:r>
      <w:r w:rsidR="00D2055A" w:rsidRPr="00897E0D">
        <w:rPr>
          <w:rFonts w:ascii="Arial" w:hAnsi="Arial" w:cs="Arial"/>
          <w:lang w:val="es-MX"/>
        </w:rPr>
        <w:t>a través de sus respectivos correos electrónicos,</w:t>
      </w:r>
      <w:r w:rsidRPr="00897E0D">
        <w:rPr>
          <w:rFonts w:ascii="Arial" w:hAnsi="Arial" w:cs="Arial"/>
          <w:lang w:val="es-MX"/>
        </w:rPr>
        <w:t xml:space="preserve"> correspondiente a los 67 expedientes de cesiones de derechos de mercados públicos, con la debida reserva por el tipo de información señalada.</w:t>
      </w:r>
    </w:p>
    <w:p w14:paraId="28ED7635" w14:textId="38DC96F6" w:rsidR="00EC39AD" w:rsidRPr="00897E0D" w:rsidRDefault="00EC39AD" w:rsidP="00C75D74">
      <w:pPr>
        <w:jc w:val="both"/>
        <w:rPr>
          <w:rFonts w:ascii="Arial" w:hAnsi="Arial" w:cs="Arial"/>
          <w:lang w:val="es-MX"/>
        </w:rPr>
      </w:pPr>
    </w:p>
    <w:p w14:paraId="312AF3B5" w14:textId="6F6B630E" w:rsidR="00EC39AD" w:rsidRPr="00897E0D" w:rsidRDefault="00EC39AD" w:rsidP="00C75D74">
      <w:pPr>
        <w:jc w:val="both"/>
        <w:rPr>
          <w:rFonts w:ascii="Arial" w:hAnsi="Arial" w:cs="Arial"/>
          <w:lang w:val="es-MX"/>
        </w:rPr>
      </w:pPr>
      <w:r w:rsidRPr="00897E0D">
        <w:rPr>
          <w:rFonts w:ascii="Arial" w:hAnsi="Arial" w:cs="Arial"/>
          <w:b/>
          <w:bCs/>
          <w:lang w:val="es-MX"/>
        </w:rPr>
        <w:t>II.</w:t>
      </w:r>
      <w:r w:rsidRPr="00897E0D">
        <w:rPr>
          <w:rFonts w:ascii="Arial" w:hAnsi="Arial" w:cs="Arial"/>
          <w:lang w:val="es-MX"/>
        </w:rPr>
        <w:t xml:space="preserve"> En fecha 21 de </w:t>
      </w:r>
      <w:r w:rsidR="00D2055A" w:rsidRPr="00897E0D">
        <w:rPr>
          <w:rFonts w:ascii="Arial" w:hAnsi="Arial" w:cs="Arial"/>
          <w:lang w:val="es-MX"/>
        </w:rPr>
        <w:t>octubre</w:t>
      </w:r>
      <w:r w:rsidRPr="00897E0D">
        <w:rPr>
          <w:rFonts w:ascii="Arial" w:hAnsi="Arial" w:cs="Arial"/>
          <w:lang w:val="es-MX"/>
        </w:rPr>
        <w:t xml:space="preserve"> del 2021, se llevó a </w:t>
      </w:r>
      <w:r w:rsidR="00144CB2" w:rsidRPr="00897E0D">
        <w:rPr>
          <w:rFonts w:ascii="Arial" w:hAnsi="Arial" w:cs="Arial"/>
          <w:lang w:val="es-MX"/>
        </w:rPr>
        <w:t>cabo mesa</w:t>
      </w:r>
      <w:r w:rsidRPr="00897E0D">
        <w:rPr>
          <w:rFonts w:ascii="Arial" w:hAnsi="Arial" w:cs="Arial"/>
          <w:lang w:val="es-MX"/>
        </w:rPr>
        <w:t xml:space="preserve"> de trabajo con </w:t>
      </w:r>
      <w:r w:rsidR="00FF15DD">
        <w:rPr>
          <w:rFonts w:ascii="Arial" w:hAnsi="Arial" w:cs="Arial"/>
          <w:lang w:val="es-MX"/>
        </w:rPr>
        <w:t xml:space="preserve">los integrantes de la presente comisión, con </w:t>
      </w:r>
      <w:r w:rsidRPr="00897E0D">
        <w:rPr>
          <w:rFonts w:ascii="Arial" w:hAnsi="Arial" w:cs="Arial"/>
          <w:lang w:val="es-MX"/>
        </w:rPr>
        <w:t xml:space="preserve">la finalidad de explicar a los asistentes a dicha mesa, los antecedentes de las cesiones de derechos de mercados públicos y la revisión de los </w:t>
      </w:r>
      <w:r w:rsidR="00D0070E" w:rsidRPr="00897E0D">
        <w:rPr>
          <w:rFonts w:ascii="Arial" w:hAnsi="Arial" w:cs="Arial"/>
          <w:lang w:val="es-MX"/>
        </w:rPr>
        <w:t xml:space="preserve">documentos que integran los </w:t>
      </w:r>
      <w:r w:rsidRPr="00897E0D">
        <w:rPr>
          <w:rFonts w:ascii="Arial" w:hAnsi="Arial" w:cs="Arial"/>
          <w:lang w:val="es-MX"/>
        </w:rPr>
        <w:t>67 expedientes que forman parte de las solicitudes de cesión realizadas por parte de los titulares del derecho.</w:t>
      </w:r>
    </w:p>
    <w:p w14:paraId="0661CA0B" w14:textId="77777777" w:rsidR="00F06070" w:rsidRPr="00897E0D" w:rsidRDefault="00F06070" w:rsidP="00C75D74">
      <w:pPr>
        <w:jc w:val="both"/>
        <w:rPr>
          <w:rFonts w:ascii="Arial" w:hAnsi="Arial" w:cs="Arial"/>
          <w:lang w:val="es-MX"/>
        </w:rPr>
      </w:pPr>
    </w:p>
    <w:p w14:paraId="58112E21" w14:textId="5AE1FB51" w:rsidR="008E7731" w:rsidRPr="00897E0D" w:rsidRDefault="008E7731" w:rsidP="00C75D74">
      <w:pPr>
        <w:jc w:val="both"/>
        <w:rPr>
          <w:rFonts w:ascii="Arial" w:hAnsi="Arial" w:cs="Arial"/>
          <w:lang w:val="es-MX"/>
        </w:rPr>
      </w:pPr>
      <w:r w:rsidRPr="00897E0D">
        <w:rPr>
          <w:rFonts w:ascii="Arial" w:hAnsi="Arial" w:cs="Arial"/>
          <w:lang w:val="es-MX"/>
        </w:rPr>
        <w:t>Como parte del análisis que realizaron los participantes en la mesa de trabajo de referencia</w:t>
      </w:r>
      <w:r w:rsidR="00A76265" w:rsidRPr="00897E0D">
        <w:rPr>
          <w:rFonts w:ascii="Arial" w:hAnsi="Arial" w:cs="Arial"/>
          <w:lang w:val="es-MX"/>
        </w:rPr>
        <w:t xml:space="preserve">, se constriñó a la revisión por expediente, del cumplimiento de los requisitos por parte de los solicitantes de las cesiones de derechos de mercados </w:t>
      </w:r>
      <w:r w:rsidR="00A76265" w:rsidRPr="00897E0D">
        <w:rPr>
          <w:rFonts w:ascii="Arial" w:hAnsi="Arial" w:cs="Arial"/>
          <w:lang w:val="es-MX"/>
        </w:rPr>
        <w:lastRenderedPageBreak/>
        <w:t>públicos, los cuales guardan congruencia con aquéllos exigidos por el artículo 88 del Reglamento de Mercados Públicos y Uso de la Vía Pública para el Ejercicio de la Actividad Comercial en el Municipio de León, Guanajuato.</w:t>
      </w:r>
    </w:p>
    <w:p w14:paraId="2A733A0E" w14:textId="2186E695" w:rsidR="00A76265" w:rsidRPr="00897E0D" w:rsidRDefault="00A76265" w:rsidP="00C75D74">
      <w:pPr>
        <w:jc w:val="both"/>
        <w:rPr>
          <w:rFonts w:ascii="Arial" w:hAnsi="Arial" w:cs="Arial"/>
          <w:lang w:val="es-MX"/>
        </w:rPr>
      </w:pPr>
    </w:p>
    <w:p w14:paraId="4F489E25" w14:textId="3AB63963" w:rsidR="00A76265" w:rsidRPr="00897E0D" w:rsidRDefault="00A76265" w:rsidP="00C75D74">
      <w:pPr>
        <w:jc w:val="both"/>
        <w:rPr>
          <w:rFonts w:ascii="Arial" w:hAnsi="Arial" w:cs="Arial"/>
          <w:lang w:val="es-MX"/>
        </w:rPr>
      </w:pPr>
      <w:r w:rsidRPr="00897E0D">
        <w:rPr>
          <w:rFonts w:ascii="Arial" w:hAnsi="Arial" w:cs="Arial"/>
          <w:lang w:val="es-MX"/>
        </w:rPr>
        <w:t xml:space="preserve">Cabe hacer mención que cada uno de estos </w:t>
      </w:r>
      <w:r w:rsidR="00F53093" w:rsidRPr="00897E0D">
        <w:rPr>
          <w:rFonts w:ascii="Arial" w:hAnsi="Arial" w:cs="Arial"/>
          <w:lang w:val="es-MX"/>
        </w:rPr>
        <w:t xml:space="preserve">67 </w:t>
      </w:r>
      <w:r w:rsidRPr="00897E0D">
        <w:rPr>
          <w:rFonts w:ascii="Arial" w:hAnsi="Arial" w:cs="Arial"/>
          <w:lang w:val="es-MX"/>
        </w:rPr>
        <w:t>expedientes</w:t>
      </w:r>
      <w:r w:rsidR="00F53093" w:rsidRPr="00897E0D">
        <w:rPr>
          <w:rFonts w:ascii="Arial" w:hAnsi="Arial" w:cs="Arial"/>
          <w:lang w:val="es-MX"/>
        </w:rPr>
        <w:t xml:space="preserve"> revisados</w:t>
      </w:r>
      <w:r w:rsidRPr="00897E0D">
        <w:rPr>
          <w:rFonts w:ascii="Arial" w:hAnsi="Arial" w:cs="Arial"/>
          <w:lang w:val="es-MX"/>
        </w:rPr>
        <w:t xml:space="preserve">, además de </w:t>
      </w:r>
      <w:r w:rsidR="00F53093" w:rsidRPr="00897E0D">
        <w:rPr>
          <w:rFonts w:ascii="Arial" w:hAnsi="Arial" w:cs="Arial"/>
          <w:lang w:val="es-MX"/>
        </w:rPr>
        <w:t xml:space="preserve">cumplir con </w:t>
      </w:r>
      <w:r w:rsidRPr="00897E0D">
        <w:rPr>
          <w:rFonts w:ascii="Arial" w:hAnsi="Arial" w:cs="Arial"/>
          <w:lang w:val="es-MX"/>
        </w:rPr>
        <w:t xml:space="preserve">los </w:t>
      </w:r>
      <w:r w:rsidR="00F53093" w:rsidRPr="00897E0D">
        <w:rPr>
          <w:rFonts w:ascii="Arial" w:hAnsi="Arial" w:cs="Arial"/>
          <w:lang w:val="es-MX"/>
        </w:rPr>
        <w:t xml:space="preserve">requisitos exigidos para tales efectos, cuenta con el oficio de validación de cumplimiento de dichos requisitos suscrito por el Director de Comercio y Consumo, adscrito a la Dirección General de Economía. </w:t>
      </w:r>
    </w:p>
    <w:p w14:paraId="3A949B0F" w14:textId="77777777" w:rsidR="008E7731" w:rsidRPr="00897E0D" w:rsidRDefault="008E7731" w:rsidP="00C75D74">
      <w:pPr>
        <w:jc w:val="both"/>
        <w:rPr>
          <w:rFonts w:ascii="Arial" w:hAnsi="Arial" w:cs="Arial"/>
          <w:lang w:val="es-MX"/>
        </w:rPr>
      </w:pPr>
    </w:p>
    <w:p w14:paraId="679347E4" w14:textId="31064AFC" w:rsidR="00D0070E" w:rsidRPr="00897E0D" w:rsidRDefault="00D0070E" w:rsidP="00A1163E">
      <w:pPr>
        <w:jc w:val="both"/>
        <w:rPr>
          <w:rFonts w:ascii="Arial" w:hAnsi="Arial" w:cs="Arial"/>
          <w:lang w:val="es-MX"/>
        </w:rPr>
      </w:pPr>
      <w:r w:rsidRPr="00897E0D">
        <w:rPr>
          <w:rFonts w:ascii="Arial" w:hAnsi="Arial" w:cs="Arial"/>
          <w:lang w:val="es-MX"/>
        </w:rPr>
        <w:t>De</w:t>
      </w:r>
      <w:r w:rsidR="00A1163E" w:rsidRPr="00897E0D">
        <w:rPr>
          <w:rFonts w:ascii="Arial" w:hAnsi="Arial" w:cs="Arial"/>
          <w:lang w:val="es-MX"/>
        </w:rPr>
        <w:t>rivado de</w:t>
      </w:r>
      <w:r w:rsidRPr="00897E0D">
        <w:rPr>
          <w:rFonts w:ascii="Arial" w:hAnsi="Arial" w:cs="Arial"/>
          <w:lang w:val="es-MX"/>
        </w:rPr>
        <w:t xml:space="preserve"> los acuerdos que se generaron en la citada mesa de trabajo, </w:t>
      </w:r>
      <w:r w:rsidR="00A1163E" w:rsidRPr="00897E0D">
        <w:rPr>
          <w:rFonts w:ascii="Arial" w:hAnsi="Arial" w:cs="Arial"/>
          <w:lang w:val="es-MX"/>
        </w:rPr>
        <w:t>se determinó la presentación</w:t>
      </w:r>
      <w:r w:rsidR="00D21701" w:rsidRPr="00897E0D">
        <w:rPr>
          <w:rFonts w:ascii="Arial" w:hAnsi="Arial" w:cs="Arial"/>
          <w:lang w:val="es-MX"/>
        </w:rPr>
        <w:t xml:space="preserve"> en</w:t>
      </w:r>
      <w:r w:rsidRPr="00897E0D">
        <w:rPr>
          <w:rFonts w:ascii="Arial" w:hAnsi="Arial" w:cs="Arial"/>
          <w:lang w:val="es-MX"/>
        </w:rPr>
        <w:t xml:space="preserve"> Sesión Extraordinaria de la Comisión de Desarrollo Económico, Innovación y Turismo, de las 67 Cesiones de Derechos de Mercados Públicos.</w:t>
      </w:r>
      <w:r w:rsidR="008E7731" w:rsidRPr="00897E0D">
        <w:rPr>
          <w:rFonts w:ascii="Arial" w:hAnsi="Arial" w:cs="Arial"/>
          <w:lang w:val="es-MX"/>
        </w:rPr>
        <w:t xml:space="preserve"> Misma sesión que se acordó que se celebrara el lunes 25 de octubre del presente año a efecto de que dicha Comisión analizara, discutiera y dictaminara las cesiones de derechos de referencia.</w:t>
      </w:r>
    </w:p>
    <w:p w14:paraId="7E2421B0" w14:textId="051092A3" w:rsidR="00F468F8" w:rsidRPr="00897E0D" w:rsidRDefault="00F468F8" w:rsidP="00D0070E">
      <w:pPr>
        <w:jc w:val="both"/>
        <w:rPr>
          <w:rFonts w:ascii="Arial" w:hAnsi="Arial" w:cs="Arial"/>
          <w:lang w:val="es-MX"/>
        </w:rPr>
      </w:pPr>
    </w:p>
    <w:p w14:paraId="61E5C11E" w14:textId="77777777" w:rsidR="008D406F" w:rsidRPr="00897E0D" w:rsidRDefault="008D406F" w:rsidP="00C75D74">
      <w:pPr>
        <w:jc w:val="both"/>
        <w:rPr>
          <w:rFonts w:ascii="Arial" w:hAnsi="Arial" w:cs="Arial"/>
          <w:lang w:val="es-MX"/>
        </w:rPr>
      </w:pPr>
    </w:p>
    <w:p w14:paraId="5BC88DA9" w14:textId="77777777" w:rsidR="00C75D74" w:rsidRPr="00897E0D" w:rsidRDefault="00C75D74" w:rsidP="00C75D74">
      <w:pPr>
        <w:jc w:val="center"/>
        <w:outlineLvl w:val="0"/>
        <w:rPr>
          <w:rFonts w:ascii="Arial" w:hAnsi="Arial" w:cs="Arial"/>
          <w:b/>
          <w:lang w:val="es-MX"/>
        </w:rPr>
      </w:pPr>
      <w:r w:rsidRPr="00897E0D">
        <w:rPr>
          <w:rFonts w:ascii="Arial" w:hAnsi="Arial" w:cs="Arial"/>
          <w:b/>
          <w:lang w:val="es-MX"/>
        </w:rPr>
        <w:t>C O N S I D E R A C I O N E S</w:t>
      </w:r>
    </w:p>
    <w:p w14:paraId="37EF6470" w14:textId="670C662C" w:rsidR="00C75D74" w:rsidRPr="00897E0D" w:rsidRDefault="00C75D74" w:rsidP="00C75D74">
      <w:pPr>
        <w:jc w:val="both"/>
        <w:rPr>
          <w:rFonts w:ascii="Arial" w:hAnsi="Arial" w:cs="Arial"/>
          <w:lang w:val="es-MX"/>
        </w:rPr>
      </w:pPr>
    </w:p>
    <w:p w14:paraId="61B89ED8" w14:textId="02B29DCA" w:rsidR="005070F0" w:rsidRPr="00897E0D" w:rsidRDefault="005070F0" w:rsidP="00C75D74">
      <w:pPr>
        <w:jc w:val="both"/>
        <w:rPr>
          <w:rFonts w:ascii="Arial" w:hAnsi="Arial" w:cs="Arial"/>
          <w:lang w:val="es-MX"/>
        </w:rPr>
      </w:pPr>
    </w:p>
    <w:p w14:paraId="378F8D2E" w14:textId="2ACF72A8" w:rsidR="005070F0" w:rsidRPr="00897E0D" w:rsidRDefault="005070F0" w:rsidP="005070F0">
      <w:pPr>
        <w:jc w:val="both"/>
        <w:rPr>
          <w:rFonts w:ascii="Arial" w:hAnsi="Arial" w:cs="Arial"/>
          <w:lang w:val="es-MX"/>
        </w:rPr>
      </w:pPr>
      <w:r w:rsidRPr="00897E0D">
        <w:rPr>
          <w:rFonts w:ascii="Arial" w:hAnsi="Arial" w:cs="Arial"/>
          <w:b/>
          <w:bCs/>
          <w:lang w:val="es-MX"/>
        </w:rPr>
        <w:t xml:space="preserve">I. </w:t>
      </w:r>
      <w:r w:rsidRPr="00897E0D">
        <w:rPr>
          <w:rFonts w:ascii="Arial" w:hAnsi="Arial" w:cs="Arial"/>
          <w:lang w:val="es-MX"/>
        </w:rPr>
        <w:t xml:space="preserve">Los mercados constituyen uno de los servicios públicos que constitucionalmente le corresponde prestar </w:t>
      </w:r>
      <w:r w:rsidR="00E67FF2" w:rsidRPr="00897E0D">
        <w:rPr>
          <w:rFonts w:ascii="Arial" w:hAnsi="Arial" w:cs="Arial"/>
          <w:lang w:val="es-MX"/>
        </w:rPr>
        <w:t>al Ayuntamiento</w:t>
      </w:r>
      <w:r w:rsidRPr="00897E0D">
        <w:rPr>
          <w:rFonts w:ascii="Arial" w:hAnsi="Arial" w:cs="Arial"/>
          <w:lang w:val="es-MX"/>
        </w:rPr>
        <w:t xml:space="preserve"> </w:t>
      </w:r>
      <w:r w:rsidR="00E67FF2" w:rsidRPr="00897E0D">
        <w:rPr>
          <w:rFonts w:ascii="Arial" w:hAnsi="Arial" w:cs="Arial"/>
          <w:lang w:val="es-MX"/>
        </w:rPr>
        <w:t>de manera</w:t>
      </w:r>
      <w:r w:rsidRPr="00897E0D">
        <w:rPr>
          <w:rFonts w:ascii="Arial" w:hAnsi="Arial" w:cs="Arial"/>
          <w:lang w:val="es-MX"/>
        </w:rPr>
        <w:t xml:space="preserve"> adecuada, permanente y equitativa para toda la población del municipio.</w:t>
      </w:r>
    </w:p>
    <w:p w14:paraId="5DA91BB3" w14:textId="77777777" w:rsidR="00E67FF2" w:rsidRPr="00897E0D" w:rsidRDefault="00E67FF2" w:rsidP="005070F0">
      <w:pPr>
        <w:jc w:val="both"/>
        <w:rPr>
          <w:rFonts w:ascii="Arial" w:hAnsi="Arial" w:cs="Arial"/>
          <w:lang w:val="es-MX"/>
        </w:rPr>
      </w:pPr>
    </w:p>
    <w:p w14:paraId="195BEF47" w14:textId="4F449C5B" w:rsidR="005070F0" w:rsidRPr="00897E0D" w:rsidRDefault="005070F0" w:rsidP="005070F0">
      <w:pPr>
        <w:jc w:val="both"/>
        <w:rPr>
          <w:rFonts w:ascii="Arial" w:hAnsi="Arial" w:cs="Arial"/>
          <w:lang w:val="es-MX"/>
        </w:rPr>
      </w:pPr>
      <w:r w:rsidRPr="00897E0D">
        <w:rPr>
          <w:rFonts w:ascii="Arial" w:hAnsi="Arial" w:cs="Arial"/>
          <w:lang w:val="es-MX"/>
        </w:rPr>
        <w:t xml:space="preserve">La prestación de este servicio público </w:t>
      </w:r>
      <w:r w:rsidR="00E67FF2" w:rsidRPr="00897E0D">
        <w:rPr>
          <w:rFonts w:ascii="Arial" w:hAnsi="Arial" w:cs="Arial"/>
          <w:lang w:val="es-MX"/>
        </w:rPr>
        <w:t>permite la</w:t>
      </w:r>
      <w:r w:rsidRPr="00897E0D">
        <w:rPr>
          <w:rFonts w:ascii="Arial" w:hAnsi="Arial" w:cs="Arial"/>
          <w:lang w:val="es-MX"/>
        </w:rPr>
        <w:t xml:space="preserve"> existe</w:t>
      </w:r>
      <w:r w:rsidR="00E67FF2" w:rsidRPr="00897E0D">
        <w:rPr>
          <w:rFonts w:ascii="Arial" w:hAnsi="Arial" w:cs="Arial"/>
          <w:lang w:val="es-MX"/>
        </w:rPr>
        <w:t>ncia de</w:t>
      </w:r>
      <w:r w:rsidRPr="00897E0D">
        <w:rPr>
          <w:rFonts w:ascii="Arial" w:hAnsi="Arial" w:cs="Arial"/>
          <w:lang w:val="es-MX"/>
        </w:rPr>
        <w:t xml:space="preserve"> la conveniencia </w:t>
      </w:r>
      <w:r w:rsidR="00E67FF2" w:rsidRPr="00897E0D">
        <w:rPr>
          <w:rFonts w:ascii="Arial" w:hAnsi="Arial" w:cs="Arial"/>
          <w:lang w:val="es-MX"/>
        </w:rPr>
        <w:t>económica de una mayor participación</w:t>
      </w:r>
      <w:r w:rsidRPr="00897E0D">
        <w:rPr>
          <w:rFonts w:ascii="Arial" w:hAnsi="Arial" w:cs="Arial"/>
          <w:lang w:val="es-MX"/>
        </w:rPr>
        <w:t xml:space="preserve"> </w:t>
      </w:r>
      <w:r w:rsidR="00E67FF2" w:rsidRPr="00897E0D">
        <w:rPr>
          <w:rFonts w:ascii="Arial" w:hAnsi="Arial" w:cs="Arial"/>
          <w:lang w:val="es-MX"/>
        </w:rPr>
        <w:t>del municipio</w:t>
      </w:r>
      <w:r w:rsidRPr="00897E0D">
        <w:rPr>
          <w:rFonts w:ascii="Arial" w:hAnsi="Arial" w:cs="Arial"/>
          <w:lang w:val="es-MX"/>
        </w:rPr>
        <w:t xml:space="preserve"> en la transformación y modernización de las estructuras de producción, distribución y consumo de alimentos básicos mediante los mercados</w:t>
      </w:r>
      <w:r w:rsidR="00E67FF2" w:rsidRPr="00897E0D">
        <w:rPr>
          <w:rFonts w:ascii="Arial" w:hAnsi="Arial" w:cs="Arial"/>
          <w:lang w:val="es-MX"/>
        </w:rPr>
        <w:t>.</w:t>
      </w:r>
    </w:p>
    <w:p w14:paraId="075EF0BB" w14:textId="2101AE9B" w:rsidR="005070F0" w:rsidRPr="00897E0D" w:rsidRDefault="005070F0" w:rsidP="00C75D74">
      <w:pPr>
        <w:jc w:val="both"/>
        <w:rPr>
          <w:rFonts w:ascii="Arial" w:hAnsi="Arial" w:cs="Arial"/>
          <w:lang w:val="es-MX"/>
        </w:rPr>
      </w:pPr>
    </w:p>
    <w:p w14:paraId="7677F101" w14:textId="17B1BF2F" w:rsidR="00E67FF2" w:rsidRPr="00897E0D" w:rsidRDefault="00E67FF2" w:rsidP="00C75D74">
      <w:pPr>
        <w:jc w:val="both"/>
        <w:rPr>
          <w:rFonts w:ascii="Arial" w:hAnsi="Arial" w:cs="Arial"/>
          <w:lang w:val="es-MX"/>
        </w:rPr>
      </w:pPr>
      <w:r w:rsidRPr="00897E0D">
        <w:rPr>
          <w:rFonts w:ascii="Arial" w:hAnsi="Arial" w:cs="Arial"/>
          <w:b/>
          <w:bCs/>
          <w:lang w:val="es-MX"/>
        </w:rPr>
        <w:t xml:space="preserve">II. </w:t>
      </w:r>
      <w:r w:rsidRPr="00897E0D">
        <w:rPr>
          <w:rFonts w:ascii="Arial" w:hAnsi="Arial" w:cs="Arial"/>
          <w:lang w:val="es-MX"/>
        </w:rPr>
        <w:t xml:space="preserve">El mercado municipal representa, además, un instrumento de distribución donde se establece una relación más directa con las economías familiares y donde se manifiestan las virtudes o defectos del sistema comercial. </w:t>
      </w:r>
    </w:p>
    <w:p w14:paraId="43364CF5" w14:textId="77777777" w:rsidR="00E67FF2" w:rsidRPr="00897E0D" w:rsidRDefault="00E67FF2" w:rsidP="00C75D74">
      <w:pPr>
        <w:jc w:val="both"/>
        <w:rPr>
          <w:rFonts w:ascii="Arial" w:hAnsi="Arial" w:cs="Arial"/>
          <w:lang w:val="es-MX"/>
        </w:rPr>
      </w:pPr>
    </w:p>
    <w:p w14:paraId="6626F954" w14:textId="72241221" w:rsidR="00E67FF2" w:rsidRPr="00897E0D" w:rsidRDefault="00E67FF2" w:rsidP="00C75D74">
      <w:pPr>
        <w:jc w:val="both"/>
        <w:rPr>
          <w:rFonts w:ascii="Arial" w:hAnsi="Arial" w:cs="Arial"/>
          <w:lang w:val="es-MX"/>
        </w:rPr>
      </w:pPr>
      <w:r w:rsidRPr="00897E0D">
        <w:rPr>
          <w:rFonts w:ascii="Arial" w:hAnsi="Arial" w:cs="Arial"/>
          <w:lang w:val="es-MX"/>
        </w:rPr>
        <w:t xml:space="preserve">Por esta razón, es conveniente una organización adecuada del mercado, donde las personas interesadas puedan realizar cómodamente sus compras con una garantía de calidad de los productos que adquieren y donde el abastecimiento sea permanente. Los productos que generalmente se encuentran en los mercados son los de tipo </w:t>
      </w:r>
      <w:r w:rsidR="00F06070" w:rsidRPr="00897E0D">
        <w:rPr>
          <w:rFonts w:ascii="Arial" w:hAnsi="Arial" w:cs="Arial"/>
          <w:lang w:val="es-MX"/>
        </w:rPr>
        <w:t>perecedero, como</w:t>
      </w:r>
      <w:r w:rsidRPr="00897E0D">
        <w:rPr>
          <w:rFonts w:ascii="Arial" w:hAnsi="Arial" w:cs="Arial"/>
          <w:lang w:val="es-MX"/>
        </w:rPr>
        <w:t xml:space="preserve"> carnes, frutas, </w:t>
      </w:r>
      <w:r w:rsidR="00F06070" w:rsidRPr="00897E0D">
        <w:rPr>
          <w:rFonts w:ascii="Arial" w:hAnsi="Arial" w:cs="Arial"/>
          <w:lang w:val="es-MX"/>
        </w:rPr>
        <w:t>v</w:t>
      </w:r>
      <w:r w:rsidRPr="00897E0D">
        <w:rPr>
          <w:rFonts w:ascii="Arial" w:hAnsi="Arial" w:cs="Arial"/>
          <w:lang w:val="es-MX"/>
        </w:rPr>
        <w:t xml:space="preserve">erduras y demás alimentos no elaborados </w:t>
      </w:r>
      <w:r w:rsidR="00D2055A" w:rsidRPr="00897E0D">
        <w:rPr>
          <w:rFonts w:ascii="Arial" w:hAnsi="Arial" w:cs="Arial"/>
          <w:lang w:val="es-MX"/>
        </w:rPr>
        <w:t>y en</w:t>
      </w:r>
      <w:r w:rsidRPr="00897E0D">
        <w:rPr>
          <w:rFonts w:ascii="Arial" w:hAnsi="Arial" w:cs="Arial"/>
          <w:lang w:val="es-MX"/>
        </w:rPr>
        <w:t xml:space="preserve"> menor importancia artículos de uso doméstico, como detergentes, productos de limpieza y alimentos enlatados, entre otros. </w:t>
      </w:r>
    </w:p>
    <w:p w14:paraId="00D5E724" w14:textId="77777777" w:rsidR="00E67FF2" w:rsidRPr="00897E0D" w:rsidRDefault="00E67FF2" w:rsidP="00C75D74">
      <w:pPr>
        <w:jc w:val="both"/>
        <w:rPr>
          <w:rFonts w:ascii="Arial" w:hAnsi="Arial" w:cs="Arial"/>
          <w:lang w:val="es-MX"/>
        </w:rPr>
      </w:pPr>
    </w:p>
    <w:p w14:paraId="6C4B228B" w14:textId="77777777" w:rsidR="00E67FF2" w:rsidRPr="00897E0D" w:rsidRDefault="00E67FF2" w:rsidP="00C75D74">
      <w:pPr>
        <w:jc w:val="both"/>
        <w:rPr>
          <w:rFonts w:ascii="Arial" w:hAnsi="Arial" w:cs="Arial"/>
          <w:lang w:val="es-MX"/>
        </w:rPr>
      </w:pPr>
      <w:r w:rsidRPr="00897E0D">
        <w:rPr>
          <w:rFonts w:ascii="Arial" w:hAnsi="Arial" w:cs="Arial"/>
          <w:lang w:val="es-MX"/>
        </w:rPr>
        <w:t xml:space="preserve">Los mercados municipales tienen las siguientes ventajas: </w:t>
      </w:r>
    </w:p>
    <w:p w14:paraId="55C2A039" w14:textId="77777777" w:rsidR="00E67FF2" w:rsidRPr="00897E0D" w:rsidRDefault="00E67FF2" w:rsidP="00C75D74">
      <w:pPr>
        <w:jc w:val="both"/>
        <w:rPr>
          <w:rFonts w:ascii="Arial" w:hAnsi="Arial" w:cs="Arial"/>
          <w:lang w:val="es-MX"/>
        </w:rPr>
      </w:pPr>
    </w:p>
    <w:p w14:paraId="2FDCC7CF" w14:textId="17F249E9" w:rsidR="00E67FF2" w:rsidRPr="00897E0D" w:rsidRDefault="00E67FF2" w:rsidP="00C75D74">
      <w:pPr>
        <w:pStyle w:val="Prrafodelista"/>
        <w:numPr>
          <w:ilvl w:val="0"/>
          <w:numId w:val="5"/>
        </w:numPr>
        <w:jc w:val="both"/>
        <w:rPr>
          <w:rFonts w:ascii="Arial" w:hAnsi="Arial" w:cs="Arial"/>
          <w:lang w:val="es-MX"/>
        </w:rPr>
      </w:pPr>
      <w:r w:rsidRPr="00897E0D">
        <w:rPr>
          <w:rFonts w:ascii="Arial" w:hAnsi="Arial" w:cs="Arial"/>
          <w:lang w:val="es-MX"/>
        </w:rPr>
        <w:t xml:space="preserve">Favorecen la adquisición de </w:t>
      </w:r>
      <w:r w:rsidR="00D2055A" w:rsidRPr="00897E0D">
        <w:rPr>
          <w:rFonts w:ascii="Arial" w:hAnsi="Arial" w:cs="Arial"/>
          <w:lang w:val="es-MX"/>
        </w:rPr>
        <w:t>productos diversos</w:t>
      </w:r>
      <w:r w:rsidRPr="00897E0D">
        <w:rPr>
          <w:rFonts w:ascii="Arial" w:hAnsi="Arial" w:cs="Arial"/>
          <w:lang w:val="es-MX"/>
        </w:rPr>
        <w:t xml:space="preserve"> en un mismo lugar. </w:t>
      </w:r>
    </w:p>
    <w:p w14:paraId="5200469B" w14:textId="345C069F" w:rsidR="00E67FF2" w:rsidRPr="00897E0D" w:rsidRDefault="00E67FF2" w:rsidP="00C75D74">
      <w:pPr>
        <w:pStyle w:val="Prrafodelista"/>
        <w:numPr>
          <w:ilvl w:val="0"/>
          <w:numId w:val="5"/>
        </w:numPr>
        <w:jc w:val="both"/>
        <w:rPr>
          <w:rFonts w:ascii="Arial" w:hAnsi="Arial" w:cs="Arial"/>
          <w:lang w:val="es-MX"/>
        </w:rPr>
      </w:pPr>
      <w:r w:rsidRPr="00897E0D">
        <w:rPr>
          <w:rFonts w:ascii="Arial" w:hAnsi="Arial" w:cs="Arial"/>
          <w:lang w:val="es-MX"/>
        </w:rPr>
        <w:lastRenderedPageBreak/>
        <w:t xml:space="preserve">La existencia de varios establecimientos permite seleccionar los productos a </w:t>
      </w:r>
      <w:r w:rsidR="00D2055A" w:rsidRPr="00897E0D">
        <w:rPr>
          <w:rFonts w:ascii="Arial" w:hAnsi="Arial" w:cs="Arial"/>
          <w:lang w:val="es-MX"/>
        </w:rPr>
        <w:t>los precios</w:t>
      </w:r>
      <w:r w:rsidRPr="00897E0D">
        <w:rPr>
          <w:rFonts w:ascii="Arial" w:hAnsi="Arial" w:cs="Arial"/>
          <w:lang w:val="es-MX"/>
        </w:rPr>
        <w:t xml:space="preserve"> más accesibles. </w:t>
      </w:r>
    </w:p>
    <w:p w14:paraId="37BBB955" w14:textId="3BFF629D" w:rsidR="00F06070" w:rsidRPr="00897E0D" w:rsidRDefault="00D2055A" w:rsidP="00C75D74">
      <w:pPr>
        <w:pStyle w:val="Prrafodelista"/>
        <w:numPr>
          <w:ilvl w:val="0"/>
          <w:numId w:val="5"/>
        </w:numPr>
        <w:jc w:val="both"/>
        <w:rPr>
          <w:rFonts w:ascii="Arial" w:hAnsi="Arial" w:cs="Arial"/>
          <w:lang w:val="es-MX"/>
        </w:rPr>
      </w:pPr>
      <w:r w:rsidRPr="00897E0D">
        <w:rPr>
          <w:rFonts w:ascii="Arial" w:hAnsi="Arial" w:cs="Arial"/>
          <w:lang w:val="es-MX"/>
        </w:rPr>
        <w:t>La concentración</w:t>
      </w:r>
      <w:r w:rsidR="00E67FF2" w:rsidRPr="00897E0D">
        <w:rPr>
          <w:rFonts w:ascii="Arial" w:hAnsi="Arial" w:cs="Arial"/>
          <w:lang w:val="es-MX"/>
        </w:rPr>
        <w:t xml:space="preserve"> de comerciantes </w:t>
      </w:r>
      <w:r w:rsidRPr="00897E0D">
        <w:rPr>
          <w:rFonts w:ascii="Arial" w:hAnsi="Arial" w:cs="Arial"/>
          <w:lang w:val="es-MX"/>
        </w:rPr>
        <w:t>provoca la</w:t>
      </w:r>
      <w:r w:rsidR="00E67FF2" w:rsidRPr="00897E0D">
        <w:rPr>
          <w:rFonts w:ascii="Arial" w:hAnsi="Arial" w:cs="Arial"/>
          <w:lang w:val="es-MX"/>
        </w:rPr>
        <w:t xml:space="preserve"> competencia comercial que favorece al equilibrio de los precios. </w:t>
      </w:r>
    </w:p>
    <w:p w14:paraId="5D2A1E8A" w14:textId="77777777" w:rsidR="00F06070" w:rsidRPr="00897E0D" w:rsidRDefault="00F06070" w:rsidP="00F06070">
      <w:pPr>
        <w:pStyle w:val="Prrafodelista"/>
        <w:ind w:left="720"/>
        <w:jc w:val="both"/>
        <w:rPr>
          <w:rFonts w:ascii="Arial" w:hAnsi="Arial" w:cs="Arial"/>
          <w:lang w:val="es-MX"/>
        </w:rPr>
      </w:pPr>
    </w:p>
    <w:p w14:paraId="2006F406" w14:textId="33E27FCE" w:rsidR="00E67FF2" w:rsidRPr="00897E0D" w:rsidRDefault="00E67FF2" w:rsidP="00F06070">
      <w:pPr>
        <w:jc w:val="both"/>
        <w:rPr>
          <w:rFonts w:ascii="Arial" w:hAnsi="Arial" w:cs="Arial"/>
          <w:lang w:val="es-MX"/>
        </w:rPr>
      </w:pPr>
      <w:r w:rsidRPr="00897E0D">
        <w:rPr>
          <w:rFonts w:ascii="Arial" w:hAnsi="Arial" w:cs="Arial"/>
          <w:lang w:val="es-MX"/>
        </w:rPr>
        <w:t xml:space="preserve">Las principales funciones de los mercados son las siguientes: </w:t>
      </w:r>
    </w:p>
    <w:p w14:paraId="134DDC5A" w14:textId="77777777" w:rsidR="00F06070" w:rsidRPr="00897E0D" w:rsidRDefault="00F06070" w:rsidP="00F06070">
      <w:pPr>
        <w:jc w:val="both"/>
        <w:rPr>
          <w:rFonts w:ascii="Arial" w:hAnsi="Arial" w:cs="Arial"/>
          <w:lang w:val="es-MX"/>
        </w:rPr>
      </w:pPr>
    </w:p>
    <w:p w14:paraId="6C1F9D18" w14:textId="0DD5A236" w:rsidR="00E67FF2" w:rsidRPr="00897E0D" w:rsidRDefault="00D2055A" w:rsidP="00C75D74">
      <w:pPr>
        <w:pStyle w:val="Prrafodelista"/>
        <w:numPr>
          <w:ilvl w:val="0"/>
          <w:numId w:val="5"/>
        </w:numPr>
        <w:jc w:val="both"/>
        <w:rPr>
          <w:rFonts w:ascii="Arial" w:hAnsi="Arial" w:cs="Arial"/>
          <w:lang w:val="es-MX"/>
        </w:rPr>
      </w:pPr>
      <w:r w:rsidRPr="00897E0D">
        <w:rPr>
          <w:rFonts w:ascii="Arial" w:hAnsi="Arial" w:cs="Arial"/>
          <w:lang w:val="es-MX"/>
        </w:rPr>
        <w:t>Concentrar el</w:t>
      </w:r>
      <w:r w:rsidR="00E67FF2" w:rsidRPr="00897E0D">
        <w:rPr>
          <w:rFonts w:ascii="Arial" w:hAnsi="Arial" w:cs="Arial"/>
          <w:lang w:val="es-MX"/>
        </w:rPr>
        <w:t xml:space="preserve"> comercio de la localidad </w:t>
      </w:r>
      <w:r w:rsidRPr="00897E0D">
        <w:rPr>
          <w:rFonts w:ascii="Arial" w:hAnsi="Arial" w:cs="Arial"/>
          <w:lang w:val="es-MX"/>
        </w:rPr>
        <w:t>al menudeo</w:t>
      </w:r>
      <w:r w:rsidR="00E67FF2" w:rsidRPr="00897E0D">
        <w:rPr>
          <w:rFonts w:ascii="Arial" w:hAnsi="Arial" w:cs="Arial"/>
          <w:lang w:val="es-MX"/>
        </w:rPr>
        <w:t xml:space="preserve">. </w:t>
      </w:r>
    </w:p>
    <w:p w14:paraId="027C9AC9" w14:textId="5027EC3E" w:rsidR="00E67FF2" w:rsidRPr="00897E0D" w:rsidRDefault="00D2055A" w:rsidP="00E67FF2">
      <w:pPr>
        <w:pStyle w:val="Prrafodelista"/>
        <w:numPr>
          <w:ilvl w:val="0"/>
          <w:numId w:val="5"/>
        </w:numPr>
        <w:jc w:val="both"/>
        <w:rPr>
          <w:rFonts w:ascii="Arial" w:hAnsi="Arial" w:cs="Arial"/>
          <w:lang w:val="es-MX"/>
        </w:rPr>
      </w:pPr>
      <w:r w:rsidRPr="00897E0D">
        <w:rPr>
          <w:rFonts w:ascii="Arial" w:hAnsi="Arial" w:cs="Arial"/>
          <w:lang w:val="es-MX"/>
        </w:rPr>
        <w:t>Abastecer y distribuir</w:t>
      </w:r>
      <w:r w:rsidR="00E67FF2" w:rsidRPr="00897E0D">
        <w:rPr>
          <w:rFonts w:ascii="Arial" w:hAnsi="Arial" w:cs="Arial"/>
          <w:lang w:val="es-MX"/>
        </w:rPr>
        <w:t xml:space="preserve"> al detalle diariamente los productos básicos que necesita la comunidad. </w:t>
      </w:r>
    </w:p>
    <w:p w14:paraId="58943EAF" w14:textId="2706EFBD" w:rsidR="00E67FF2" w:rsidRPr="00897E0D" w:rsidRDefault="00E67FF2" w:rsidP="00E67FF2">
      <w:pPr>
        <w:pStyle w:val="Prrafodelista"/>
        <w:numPr>
          <w:ilvl w:val="0"/>
          <w:numId w:val="5"/>
        </w:numPr>
        <w:jc w:val="both"/>
        <w:rPr>
          <w:rFonts w:ascii="Arial" w:hAnsi="Arial" w:cs="Arial"/>
          <w:lang w:val="es-MX"/>
        </w:rPr>
      </w:pPr>
      <w:r w:rsidRPr="00897E0D">
        <w:rPr>
          <w:rFonts w:ascii="Arial" w:hAnsi="Arial" w:cs="Arial"/>
          <w:lang w:val="es-MX"/>
        </w:rPr>
        <w:t xml:space="preserve">Organizar dentro de </w:t>
      </w:r>
      <w:r w:rsidR="00D2055A" w:rsidRPr="00897E0D">
        <w:rPr>
          <w:rFonts w:ascii="Arial" w:hAnsi="Arial" w:cs="Arial"/>
          <w:lang w:val="es-MX"/>
        </w:rPr>
        <w:t>un local</w:t>
      </w:r>
      <w:r w:rsidRPr="00897E0D">
        <w:rPr>
          <w:rFonts w:ascii="Arial" w:hAnsi="Arial" w:cs="Arial"/>
          <w:lang w:val="es-MX"/>
        </w:rPr>
        <w:t xml:space="preserve"> a pequeños comerciantes.</w:t>
      </w:r>
    </w:p>
    <w:p w14:paraId="05458971" w14:textId="57B66F51" w:rsidR="00E67FF2" w:rsidRPr="00897E0D" w:rsidRDefault="00E67FF2" w:rsidP="00C75D74">
      <w:pPr>
        <w:jc w:val="both"/>
        <w:rPr>
          <w:rFonts w:ascii="Arial" w:hAnsi="Arial" w:cs="Arial"/>
          <w:lang w:val="es-MX"/>
        </w:rPr>
      </w:pPr>
    </w:p>
    <w:p w14:paraId="0CD96A45" w14:textId="0BCE8581" w:rsidR="00E67FF2" w:rsidRPr="00897E0D" w:rsidRDefault="00E67FF2" w:rsidP="00C75D74">
      <w:pPr>
        <w:jc w:val="both"/>
        <w:rPr>
          <w:rFonts w:ascii="Arial" w:hAnsi="Arial" w:cs="Arial"/>
          <w:lang w:val="es-MX"/>
        </w:rPr>
      </w:pPr>
    </w:p>
    <w:p w14:paraId="790136B2" w14:textId="74EC3BF0" w:rsidR="00E67FF2" w:rsidRPr="00897E0D" w:rsidRDefault="00F06070" w:rsidP="00E67FF2">
      <w:pPr>
        <w:tabs>
          <w:tab w:val="left" w:pos="0"/>
        </w:tabs>
        <w:jc w:val="both"/>
        <w:rPr>
          <w:rFonts w:ascii="Arial" w:hAnsi="Arial" w:cs="Arial"/>
          <w:lang w:val="es-MX"/>
        </w:rPr>
      </w:pPr>
      <w:r w:rsidRPr="00897E0D">
        <w:rPr>
          <w:rFonts w:ascii="Arial" w:hAnsi="Arial" w:cs="Arial"/>
          <w:b/>
          <w:bCs/>
          <w:lang w:val="es-MX"/>
        </w:rPr>
        <w:t>I</w:t>
      </w:r>
      <w:r w:rsidR="00E67FF2" w:rsidRPr="00897E0D">
        <w:rPr>
          <w:rFonts w:ascii="Arial" w:hAnsi="Arial" w:cs="Arial"/>
          <w:b/>
          <w:bCs/>
          <w:lang w:val="es-MX"/>
        </w:rPr>
        <w:t xml:space="preserve">II. </w:t>
      </w:r>
      <w:r w:rsidRPr="00897E0D">
        <w:rPr>
          <w:rFonts w:ascii="Arial" w:hAnsi="Arial" w:cs="Arial"/>
          <w:lang w:val="es-MX"/>
        </w:rPr>
        <w:t>Es por todo ello, que l</w:t>
      </w:r>
      <w:r w:rsidR="00E67FF2" w:rsidRPr="00897E0D">
        <w:rPr>
          <w:rFonts w:ascii="Arial" w:hAnsi="Arial" w:cs="Arial"/>
          <w:lang w:val="es-MX"/>
        </w:rPr>
        <w:t>a Constitución Política para el Estado de Guanajuato establece en su artículo 117, que compete a los Ayuntamientos, prestar los servicios públicos y en el caso que nos ocupa el referente al de Mercados y Centrales de Abastos.</w:t>
      </w:r>
    </w:p>
    <w:p w14:paraId="40EB782D" w14:textId="5F639F37" w:rsidR="00E67FF2" w:rsidRPr="00897E0D" w:rsidRDefault="00E67FF2" w:rsidP="00E67FF2">
      <w:pPr>
        <w:pStyle w:val="Prrafodelista"/>
        <w:ind w:left="0"/>
        <w:jc w:val="both"/>
        <w:rPr>
          <w:rFonts w:ascii="Arial" w:hAnsi="Arial" w:cs="Arial"/>
          <w:lang w:val="es-MX"/>
        </w:rPr>
      </w:pPr>
    </w:p>
    <w:p w14:paraId="71E95B71" w14:textId="78A40F0B" w:rsidR="00E67FF2" w:rsidRPr="00897E0D" w:rsidRDefault="00E67FF2" w:rsidP="00E67FF2">
      <w:pPr>
        <w:pStyle w:val="Default"/>
        <w:jc w:val="both"/>
        <w:rPr>
          <w:color w:val="auto"/>
        </w:rPr>
      </w:pPr>
      <w:r w:rsidRPr="00897E0D">
        <w:t>La Ley Orgánica Municipal para el estado de Guanajuato por su parte establece en el artículo 167, que los Ayuntamientos tendrán a cargo el servicio público de mercados y centrales de abasto.</w:t>
      </w:r>
      <w:r w:rsidRPr="00897E0D">
        <w:rPr>
          <w:color w:val="auto"/>
        </w:rPr>
        <w:t xml:space="preserve"> </w:t>
      </w:r>
    </w:p>
    <w:p w14:paraId="0BDFFAF8" w14:textId="77777777" w:rsidR="00E67FF2" w:rsidRPr="00897E0D" w:rsidRDefault="00E67FF2" w:rsidP="00E67FF2">
      <w:pPr>
        <w:pStyle w:val="Prrafodelista"/>
        <w:ind w:left="0"/>
        <w:jc w:val="both"/>
        <w:rPr>
          <w:rFonts w:ascii="Arial" w:hAnsi="Arial" w:cs="Arial"/>
          <w:b/>
          <w:bCs/>
          <w:lang w:val="es-MX"/>
        </w:rPr>
      </w:pPr>
    </w:p>
    <w:p w14:paraId="75ECE092" w14:textId="3762ACC4" w:rsidR="00C75D74" w:rsidRPr="00897E0D" w:rsidRDefault="002F6FD0" w:rsidP="00E67FF2">
      <w:pPr>
        <w:pStyle w:val="Prrafodelista"/>
        <w:ind w:left="0"/>
        <w:jc w:val="both"/>
        <w:rPr>
          <w:rFonts w:ascii="Arial" w:hAnsi="Arial" w:cs="Arial"/>
          <w:lang w:val="es-MX"/>
        </w:rPr>
      </w:pPr>
      <w:r w:rsidRPr="00897E0D">
        <w:rPr>
          <w:rFonts w:ascii="Arial" w:hAnsi="Arial" w:cs="Arial"/>
          <w:lang w:val="es-MX"/>
        </w:rPr>
        <w:t xml:space="preserve">Esta misma </w:t>
      </w:r>
      <w:r w:rsidR="009F493E" w:rsidRPr="00897E0D">
        <w:rPr>
          <w:rFonts w:ascii="Arial" w:hAnsi="Arial" w:cs="Arial"/>
          <w:lang w:val="es-MX"/>
        </w:rPr>
        <w:t xml:space="preserve">Ley </w:t>
      </w:r>
      <w:r w:rsidR="00D2055A" w:rsidRPr="00897E0D">
        <w:rPr>
          <w:rFonts w:ascii="Arial" w:hAnsi="Arial" w:cs="Arial"/>
          <w:lang w:val="es-MX"/>
        </w:rPr>
        <w:t>señala</w:t>
      </w:r>
      <w:r w:rsidR="00C75D74" w:rsidRPr="00897E0D">
        <w:rPr>
          <w:rFonts w:ascii="Arial" w:hAnsi="Arial" w:cs="Arial"/>
          <w:lang w:val="es-MX"/>
        </w:rPr>
        <w:t xml:space="preserve"> en su artículo 174</w:t>
      </w:r>
      <w:r w:rsidR="00E42AD0" w:rsidRPr="00897E0D">
        <w:rPr>
          <w:rFonts w:ascii="Arial" w:hAnsi="Arial" w:cs="Arial"/>
          <w:lang w:val="es-MX"/>
        </w:rPr>
        <w:t>,</w:t>
      </w:r>
      <w:r w:rsidR="00C75D74" w:rsidRPr="00897E0D">
        <w:rPr>
          <w:rFonts w:ascii="Arial" w:hAnsi="Arial" w:cs="Arial"/>
          <w:lang w:val="es-MX"/>
        </w:rPr>
        <w:t xml:space="preserve"> que el servicio público de mercados y centrales de abastos es aquél que se presta en inmuebles de propiedad municipal y tiene por objeto la </w:t>
      </w:r>
      <w:r w:rsidR="00A72DA9" w:rsidRPr="00897E0D">
        <w:rPr>
          <w:rFonts w:ascii="Arial" w:hAnsi="Arial" w:cs="Arial"/>
          <w:lang w:val="es-MX"/>
        </w:rPr>
        <w:t>adecuada</w:t>
      </w:r>
      <w:r w:rsidR="00C75D74" w:rsidRPr="00897E0D">
        <w:rPr>
          <w:rFonts w:ascii="Arial" w:hAnsi="Arial" w:cs="Arial"/>
          <w:lang w:val="es-MX"/>
        </w:rPr>
        <w:t xml:space="preserve"> distribución de artículos y productos alimenticios que satisfagan las necesidades de la población.</w:t>
      </w:r>
    </w:p>
    <w:p w14:paraId="035798B3" w14:textId="77777777" w:rsidR="00C75D74" w:rsidRPr="00897E0D" w:rsidRDefault="00C75D74" w:rsidP="00C75D74">
      <w:pPr>
        <w:pStyle w:val="Prrafodelista"/>
        <w:ind w:left="0"/>
        <w:jc w:val="both"/>
        <w:rPr>
          <w:rFonts w:ascii="Arial" w:hAnsi="Arial" w:cs="Arial"/>
          <w:lang w:val="es-MX"/>
        </w:rPr>
      </w:pPr>
    </w:p>
    <w:p w14:paraId="5289CEB0" w14:textId="5F8ABB2F" w:rsidR="00C75D74" w:rsidRPr="00897E0D" w:rsidRDefault="00481AD4" w:rsidP="00481AD4">
      <w:pPr>
        <w:jc w:val="both"/>
        <w:rPr>
          <w:rFonts w:ascii="Arial" w:hAnsi="Arial" w:cs="Arial"/>
          <w:lang w:val="es-MX"/>
        </w:rPr>
      </w:pPr>
      <w:r w:rsidRPr="00897E0D">
        <w:rPr>
          <w:rFonts w:ascii="Arial" w:hAnsi="Arial" w:cs="Arial"/>
          <w:b/>
          <w:bCs/>
          <w:lang w:val="es-MX"/>
        </w:rPr>
        <w:t>IV.</w:t>
      </w:r>
      <w:r w:rsidR="00E42AD0" w:rsidRPr="00897E0D">
        <w:rPr>
          <w:rFonts w:ascii="Arial" w:hAnsi="Arial" w:cs="Arial"/>
          <w:b/>
          <w:bCs/>
          <w:lang w:val="es-MX"/>
        </w:rPr>
        <w:t xml:space="preserve"> </w:t>
      </w:r>
      <w:r w:rsidR="00C75D74" w:rsidRPr="00897E0D">
        <w:rPr>
          <w:rFonts w:ascii="Arial" w:hAnsi="Arial" w:cs="Arial"/>
          <w:lang w:val="es-MX"/>
        </w:rPr>
        <w:t>En este contexto, y de conformidad a la adición realizada a la citada Ley Orgánica Municipal</w:t>
      </w:r>
      <w:r w:rsidR="00A72DA9" w:rsidRPr="00897E0D">
        <w:rPr>
          <w:rFonts w:ascii="Arial" w:hAnsi="Arial" w:cs="Arial"/>
          <w:lang w:val="es-MX"/>
        </w:rPr>
        <w:t>,</w:t>
      </w:r>
      <w:r w:rsidR="00C75D74" w:rsidRPr="00897E0D">
        <w:rPr>
          <w:rFonts w:ascii="Arial" w:hAnsi="Arial" w:cs="Arial"/>
          <w:lang w:val="es-MX"/>
        </w:rPr>
        <w:t xml:space="preserve"> publicada en el periódico oficial de fecha 5 </w:t>
      </w:r>
      <w:r w:rsidR="00A72DA9" w:rsidRPr="00897E0D">
        <w:rPr>
          <w:rFonts w:ascii="Arial" w:hAnsi="Arial" w:cs="Arial"/>
          <w:lang w:val="es-MX"/>
        </w:rPr>
        <w:t>de diciembre de 2017,</w:t>
      </w:r>
      <w:r w:rsidR="00C75D74" w:rsidRPr="00897E0D">
        <w:rPr>
          <w:rFonts w:ascii="Arial" w:hAnsi="Arial" w:cs="Arial"/>
          <w:lang w:val="es-MX"/>
        </w:rPr>
        <w:t xml:space="preserve"> refiere en su artículo 174-2 que el Ayuntamiento deberá crear y mantener actualizado el </w:t>
      </w:r>
      <w:r w:rsidR="00147F3C" w:rsidRPr="00897E0D">
        <w:rPr>
          <w:rFonts w:ascii="Arial" w:hAnsi="Arial" w:cs="Arial"/>
          <w:lang w:val="es-MX"/>
        </w:rPr>
        <w:t xml:space="preserve">Registro </w:t>
      </w:r>
      <w:r w:rsidR="00C75D74" w:rsidRPr="00897E0D">
        <w:rPr>
          <w:rFonts w:ascii="Arial" w:hAnsi="Arial" w:cs="Arial"/>
          <w:lang w:val="es-MX"/>
        </w:rPr>
        <w:t>Público Municipal de Mercados y Centrales de Abastos, el que contendrá el padrón de loc</w:t>
      </w:r>
      <w:r w:rsidR="00A72DA9" w:rsidRPr="00897E0D">
        <w:rPr>
          <w:rFonts w:ascii="Arial" w:hAnsi="Arial" w:cs="Arial"/>
          <w:lang w:val="es-MX"/>
        </w:rPr>
        <w:t>atarios cuyos registros derivarán de los tí</w:t>
      </w:r>
      <w:r w:rsidR="00C75D74" w:rsidRPr="00897E0D">
        <w:rPr>
          <w:rFonts w:ascii="Arial" w:hAnsi="Arial" w:cs="Arial"/>
          <w:lang w:val="es-MX"/>
        </w:rPr>
        <w:t>tulo-concesión otorgados.</w:t>
      </w:r>
    </w:p>
    <w:p w14:paraId="0BCB109B" w14:textId="77777777" w:rsidR="00C75D74" w:rsidRPr="00897E0D" w:rsidRDefault="00C75D74" w:rsidP="00C75D74">
      <w:pPr>
        <w:pStyle w:val="Prrafodelista"/>
        <w:ind w:left="0"/>
        <w:jc w:val="both"/>
        <w:rPr>
          <w:rFonts w:ascii="Arial" w:hAnsi="Arial" w:cs="Arial"/>
          <w:lang w:val="es-MX"/>
        </w:rPr>
      </w:pPr>
    </w:p>
    <w:p w14:paraId="6DFC969F" w14:textId="01451E1C" w:rsidR="00E42AD0" w:rsidRPr="00897E0D" w:rsidRDefault="00E42AD0" w:rsidP="00E42AD0">
      <w:pPr>
        <w:jc w:val="both"/>
        <w:rPr>
          <w:rFonts w:ascii="Arial" w:eastAsia="Calibri" w:hAnsi="Arial" w:cs="Arial"/>
          <w:b/>
          <w:bCs/>
          <w:lang w:val="es-MX" w:eastAsia="es-MX"/>
        </w:rPr>
      </w:pPr>
      <w:r w:rsidRPr="00897E0D">
        <w:rPr>
          <w:rFonts w:ascii="Arial" w:hAnsi="Arial" w:cs="Arial"/>
          <w:b/>
          <w:bCs/>
          <w:lang w:val="es-MX"/>
        </w:rPr>
        <w:t>V.</w:t>
      </w:r>
      <w:r w:rsidR="00140B25" w:rsidRPr="00897E0D">
        <w:rPr>
          <w:rFonts w:ascii="Arial" w:hAnsi="Arial" w:cs="Arial"/>
          <w:b/>
          <w:bCs/>
          <w:lang w:val="es-MX"/>
        </w:rPr>
        <w:t xml:space="preserve"> </w:t>
      </w:r>
      <w:r w:rsidR="00C75D74" w:rsidRPr="00897E0D">
        <w:rPr>
          <w:rFonts w:ascii="Arial" w:hAnsi="Arial" w:cs="Arial"/>
          <w:lang w:val="es-MX"/>
        </w:rPr>
        <w:t>En este orden de ideas, se desprende que el Ayuntamiento, para la prestación del servicio público de mercados y centrales de abastos, podrá concesionar a comerciantes los espacios de los mercados públicos propiedad municipal, y la forma de acreditar tal concesión es a través de</w:t>
      </w:r>
      <w:r w:rsidR="004F0B1C" w:rsidRPr="00897E0D">
        <w:rPr>
          <w:rFonts w:ascii="Arial" w:hAnsi="Arial" w:cs="Arial"/>
          <w:lang w:val="es-MX"/>
        </w:rPr>
        <w:t xml:space="preserve"> </w:t>
      </w:r>
      <w:r w:rsidR="00C75D74" w:rsidRPr="00897E0D">
        <w:rPr>
          <w:rFonts w:ascii="Arial" w:hAnsi="Arial" w:cs="Arial"/>
          <w:lang w:val="es-MX"/>
        </w:rPr>
        <w:t>los título-concesión respectivos</w:t>
      </w:r>
      <w:r w:rsidRPr="00897E0D">
        <w:rPr>
          <w:rFonts w:ascii="Arial" w:hAnsi="Arial" w:cs="Arial"/>
          <w:lang w:val="es-MX"/>
        </w:rPr>
        <w:t>.</w:t>
      </w:r>
    </w:p>
    <w:p w14:paraId="5BD35BD4" w14:textId="77777777" w:rsidR="00E42AD0" w:rsidRPr="00897E0D" w:rsidRDefault="00E42AD0" w:rsidP="00E42AD0">
      <w:pPr>
        <w:pStyle w:val="Prrafodelista"/>
        <w:ind w:left="0"/>
        <w:jc w:val="both"/>
        <w:rPr>
          <w:rFonts w:ascii="Arial" w:hAnsi="Arial" w:cs="Arial"/>
          <w:lang w:val="es-MX"/>
        </w:rPr>
      </w:pPr>
    </w:p>
    <w:p w14:paraId="61BA7872" w14:textId="33C92D94" w:rsidR="00E42AD0" w:rsidRPr="00897E0D" w:rsidRDefault="00E42AD0" w:rsidP="00E42AD0">
      <w:pPr>
        <w:jc w:val="both"/>
        <w:rPr>
          <w:rFonts w:ascii="Arial" w:hAnsi="Arial" w:cs="Arial"/>
          <w:lang w:val="es-MX"/>
        </w:rPr>
      </w:pPr>
      <w:r w:rsidRPr="00897E0D">
        <w:rPr>
          <w:rFonts w:ascii="Arial" w:hAnsi="Arial" w:cs="Arial"/>
          <w:lang w:val="es-MX"/>
        </w:rPr>
        <w:t xml:space="preserve">De tal manera </w:t>
      </w:r>
      <w:r w:rsidR="00974307" w:rsidRPr="00897E0D">
        <w:rPr>
          <w:rFonts w:ascii="Arial" w:hAnsi="Arial" w:cs="Arial"/>
          <w:lang w:val="es-MX"/>
        </w:rPr>
        <w:t>que,</w:t>
      </w:r>
      <w:r w:rsidRPr="00897E0D">
        <w:rPr>
          <w:rFonts w:ascii="Arial" w:hAnsi="Arial" w:cs="Arial"/>
          <w:lang w:val="es-MX"/>
        </w:rPr>
        <w:t xml:space="preserve"> </w:t>
      </w:r>
      <w:r w:rsidR="00140B25" w:rsidRPr="00897E0D">
        <w:rPr>
          <w:rFonts w:ascii="Arial" w:hAnsi="Arial" w:cs="Arial"/>
          <w:lang w:val="es-MX"/>
        </w:rPr>
        <w:t xml:space="preserve">de acuerdo al </w:t>
      </w:r>
      <w:bookmarkStart w:id="0" w:name="_Hlk85901236"/>
      <w:r w:rsidR="00140B25" w:rsidRPr="00897E0D">
        <w:rPr>
          <w:rFonts w:ascii="Arial" w:hAnsi="Arial" w:cs="Arial"/>
          <w:lang w:val="es-MX"/>
        </w:rPr>
        <w:t>Reglamento de Mercados Públicos y Uso de la Vía Pública para el Ejercicio de la Actividad Comercial en el Municipio de León, Guanajuato</w:t>
      </w:r>
      <w:bookmarkEnd w:id="0"/>
      <w:r w:rsidR="0054795A" w:rsidRPr="00897E0D">
        <w:rPr>
          <w:rFonts w:ascii="Arial" w:hAnsi="Arial" w:cs="Arial"/>
          <w:lang w:val="es-MX"/>
        </w:rPr>
        <w:t xml:space="preserve">, </w:t>
      </w:r>
      <w:r w:rsidR="00332D65" w:rsidRPr="00897E0D">
        <w:rPr>
          <w:rFonts w:ascii="Arial" w:hAnsi="Arial" w:cs="Arial"/>
          <w:lang w:val="es-MX"/>
        </w:rPr>
        <w:t>corresponde a los comerciantes fijos</w:t>
      </w:r>
      <w:r w:rsidRPr="00897E0D">
        <w:rPr>
          <w:rFonts w:ascii="Arial" w:hAnsi="Arial" w:cs="Arial"/>
          <w:lang w:val="es-MX"/>
        </w:rPr>
        <w:t xml:space="preserve"> ceder y traspasar los derechos </w:t>
      </w:r>
      <w:r w:rsidRPr="00897E0D">
        <w:rPr>
          <w:rFonts w:ascii="Arial" w:hAnsi="Arial" w:cs="Arial"/>
          <w:lang w:val="es-MX"/>
        </w:rPr>
        <w:lastRenderedPageBreak/>
        <w:t>del título concesión</w:t>
      </w:r>
      <w:r w:rsidR="00632003" w:rsidRPr="00897E0D">
        <w:rPr>
          <w:rFonts w:ascii="Arial" w:hAnsi="Arial" w:cs="Arial"/>
          <w:lang w:val="es-MX"/>
        </w:rPr>
        <w:t>,</w:t>
      </w:r>
      <w:r w:rsidRPr="00897E0D">
        <w:rPr>
          <w:rFonts w:ascii="Arial" w:hAnsi="Arial" w:cs="Arial"/>
          <w:lang w:val="es-MX"/>
        </w:rPr>
        <w:t xml:space="preserve"> así como d</w:t>
      </w:r>
      <w:r w:rsidRPr="00897E0D">
        <w:rPr>
          <w:rFonts w:ascii="Arial" w:hAnsi="Arial" w:cs="Arial"/>
          <w:lang w:val="es-MX" w:eastAsia="es-MX"/>
        </w:rPr>
        <w:t>esignar la persona a quien se podrá ceder la titularidad de los derechos del título concesión en mención.</w:t>
      </w:r>
    </w:p>
    <w:p w14:paraId="09A2A531" w14:textId="77777777" w:rsidR="00140B25" w:rsidRPr="00897E0D" w:rsidRDefault="00140B25" w:rsidP="00140B25">
      <w:pPr>
        <w:jc w:val="both"/>
        <w:rPr>
          <w:rFonts w:ascii="Arial" w:hAnsi="Arial" w:cs="Arial"/>
          <w:lang w:val="es-MX" w:eastAsia="es-MX"/>
        </w:rPr>
      </w:pPr>
    </w:p>
    <w:p w14:paraId="2AA6D7E3" w14:textId="41686E96" w:rsidR="0054795A" w:rsidRPr="00897E0D" w:rsidRDefault="0054795A" w:rsidP="0054795A">
      <w:pPr>
        <w:jc w:val="both"/>
        <w:rPr>
          <w:rFonts w:ascii="Arial" w:hAnsi="Arial" w:cs="Arial"/>
          <w:lang w:val="es-MX" w:eastAsia="es-MX"/>
        </w:rPr>
      </w:pPr>
      <w:r w:rsidRPr="00897E0D">
        <w:rPr>
          <w:rFonts w:ascii="Arial" w:hAnsi="Arial" w:cs="Arial"/>
          <w:lang w:val="es-MX" w:eastAsia="es-MX"/>
        </w:rPr>
        <w:t>La cesión implica que el concesionario como titular del derecho se ausente definitivamente por diversas causas y en su lugar ejerza el comercio una persona distinta, lo anterior en aras de que exista continuidad en la prestación del servicio y como consecuencia de ello un adecuado, suficiente y óptimo abastecimiento en los artículos y productos de primera necesidad.</w:t>
      </w:r>
    </w:p>
    <w:p w14:paraId="5E673CD8" w14:textId="77777777" w:rsidR="0054795A" w:rsidRPr="00897E0D" w:rsidRDefault="0054795A" w:rsidP="0054795A">
      <w:pPr>
        <w:jc w:val="both"/>
        <w:rPr>
          <w:rFonts w:ascii="Arial" w:hAnsi="Arial" w:cs="Arial"/>
          <w:lang w:val="es-MX" w:eastAsia="es-MX"/>
        </w:rPr>
      </w:pPr>
    </w:p>
    <w:p w14:paraId="5B480998" w14:textId="18B20A62" w:rsidR="00140B25" w:rsidRPr="00897E0D" w:rsidRDefault="00140B25" w:rsidP="00140B25">
      <w:pPr>
        <w:jc w:val="both"/>
        <w:rPr>
          <w:rFonts w:ascii="Arial" w:hAnsi="Arial" w:cs="Arial"/>
          <w:lang w:val="es-MX" w:eastAsia="es-MX"/>
        </w:rPr>
      </w:pPr>
      <w:r w:rsidRPr="00897E0D">
        <w:rPr>
          <w:rFonts w:ascii="Arial" w:hAnsi="Arial" w:cs="Arial"/>
          <w:lang w:val="es-MX" w:eastAsia="es-MX"/>
        </w:rPr>
        <w:t>Esta cesión operará en casos de fallecimiento del titular de la concesión; por incapacidad total permanente del titular de la concesión; cuando el titular de la concesión resulte electo para ocupar cualquier cargo de elección popular; por cesión voluntaria, previa aprobación del H. Ayuntamiento; y por cualquier otra causa que, a consideración del Ayuntamiento, justifique la ausencia definitiva del comerciante.</w:t>
      </w:r>
    </w:p>
    <w:p w14:paraId="66C7CAAA" w14:textId="77777777" w:rsidR="00CE6E56" w:rsidRPr="00897E0D" w:rsidRDefault="00CE6E56" w:rsidP="00140B25">
      <w:pPr>
        <w:tabs>
          <w:tab w:val="left" w:pos="6780"/>
        </w:tabs>
        <w:jc w:val="both"/>
        <w:rPr>
          <w:rFonts w:ascii="Arial" w:hAnsi="Arial" w:cs="Arial"/>
          <w:i/>
          <w:iCs/>
          <w:lang w:val="es-MX" w:eastAsia="es-MX"/>
        </w:rPr>
      </w:pPr>
    </w:p>
    <w:p w14:paraId="1386ED34" w14:textId="70297FA4" w:rsidR="00CE6E56" w:rsidRPr="00897E0D" w:rsidRDefault="00CE6E56" w:rsidP="00CE6E56">
      <w:pPr>
        <w:tabs>
          <w:tab w:val="left" w:pos="6780"/>
        </w:tabs>
        <w:jc w:val="both"/>
        <w:rPr>
          <w:rFonts w:ascii="Arial" w:hAnsi="Arial" w:cs="Arial"/>
          <w:lang w:val="es-MX" w:eastAsia="es-MX"/>
        </w:rPr>
      </w:pPr>
      <w:r w:rsidRPr="00897E0D">
        <w:rPr>
          <w:rFonts w:ascii="Arial" w:hAnsi="Arial" w:cs="Arial"/>
          <w:lang w:val="es-MX" w:eastAsia="es-MX"/>
        </w:rPr>
        <w:t xml:space="preserve">Es así, que los concesionarios podrán solicitar a la Dirección </w:t>
      </w:r>
      <w:bookmarkStart w:id="1" w:name="_Hlk85909603"/>
      <w:r w:rsidRPr="00897E0D">
        <w:rPr>
          <w:rFonts w:ascii="Arial" w:hAnsi="Arial" w:cs="Arial"/>
          <w:lang w:val="es-MX" w:eastAsia="es-MX"/>
        </w:rPr>
        <w:t>cuyas atribuciones le competan de acuerdo a la materia</w:t>
      </w:r>
      <w:bookmarkEnd w:id="1"/>
      <w:r w:rsidRPr="00897E0D">
        <w:rPr>
          <w:rFonts w:ascii="Arial" w:hAnsi="Arial" w:cs="Arial"/>
          <w:lang w:val="es-MX" w:eastAsia="es-MX"/>
        </w:rPr>
        <w:t xml:space="preserve">, la cesión del título respectivo a favor de la persona que se haya designado en el mismo, presentando la información y documentación que justifique y respalde la imposibilidad del comerciante para cumplir con el objeto de la concesión, abarcando la totalidad de </w:t>
      </w:r>
      <w:r w:rsidR="001E4FD3" w:rsidRPr="00897E0D">
        <w:rPr>
          <w:rFonts w:ascii="Arial" w:hAnsi="Arial" w:cs="Arial"/>
          <w:lang w:val="es-MX" w:eastAsia="es-MX"/>
        </w:rPr>
        <w:t>su</w:t>
      </w:r>
      <w:r w:rsidRPr="00897E0D">
        <w:rPr>
          <w:rFonts w:ascii="Arial" w:hAnsi="Arial" w:cs="Arial"/>
          <w:lang w:val="es-MX" w:eastAsia="es-MX"/>
        </w:rPr>
        <w:t xml:space="preserve"> vigencia.</w:t>
      </w:r>
    </w:p>
    <w:p w14:paraId="3A46A561" w14:textId="77777777" w:rsidR="00CE6E56" w:rsidRPr="00897E0D" w:rsidRDefault="00CE6E56" w:rsidP="00CE6E56">
      <w:pPr>
        <w:tabs>
          <w:tab w:val="left" w:pos="6780"/>
        </w:tabs>
        <w:jc w:val="both"/>
        <w:rPr>
          <w:rFonts w:ascii="Arial" w:hAnsi="Arial" w:cs="Arial"/>
          <w:lang w:val="es-MX" w:eastAsia="es-MX"/>
        </w:rPr>
      </w:pPr>
    </w:p>
    <w:p w14:paraId="43434AA3" w14:textId="77777777" w:rsidR="00CE6E56" w:rsidRPr="00897E0D" w:rsidRDefault="00CE6E56" w:rsidP="00CE6E56">
      <w:pPr>
        <w:tabs>
          <w:tab w:val="left" w:pos="6780"/>
        </w:tabs>
        <w:jc w:val="both"/>
        <w:rPr>
          <w:rFonts w:ascii="Arial" w:hAnsi="Arial" w:cs="Arial"/>
          <w:lang w:val="es-MX" w:eastAsia="es-MX"/>
        </w:rPr>
      </w:pPr>
      <w:r w:rsidRPr="00897E0D">
        <w:rPr>
          <w:rFonts w:ascii="Arial" w:hAnsi="Arial" w:cs="Arial"/>
          <w:lang w:val="es-MX" w:eastAsia="es-MX"/>
        </w:rPr>
        <w:t>De igual manera, es de señalar que el señalado Reglamento Municipal, en su artículo 19, establece que a la Dirección le compete expedir a los comerciantes fijos una credencial de identificación con la cual se acreditará el ejercicio de la actividad comercial que corresponda; lo cual permitirá mantener actualizado el Registro Público Municipal de Mercados y Centrales de Abasto, antes referido.</w:t>
      </w:r>
    </w:p>
    <w:p w14:paraId="0793253C" w14:textId="77777777" w:rsidR="00CE6E56" w:rsidRPr="00897E0D" w:rsidRDefault="00CE6E56" w:rsidP="00CE6E56">
      <w:pPr>
        <w:tabs>
          <w:tab w:val="left" w:pos="6780"/>
        </w:tabs>
        <w:jc w:val="both"/>
        <w:rPr>
          <w:rFonts w:ascii="Arial" w:hAnsi="Arial" w:cs="Arial"/>
          <w:lang w:val="es-MX" w:eastAsia="es-MX"/>
        </w:rPr>
      </w:pPr>
    </w:p>
    <w:p w14:paraId="3308365B" w14:textId="05EED7CA" w:rsidR="00CE6E56" w:rsidRPr="00897E0D" w:rsidRDefault="00CE6E56" w:rsidP="00CE6E56">
      <w:pPr>
        <w:tabs>
          <w:tab w:val="left" w:pos="6780"/>
        </w:tabs>
        <w:jc w:val="both"/>
        <w:rPr>
          <w:rFonts w:ascii="Arial" w:hAnsi="Arial" w:cs="Arial"/>
          <w:lang w:val="es-MX" w:eastAsia="es-MX"/>
        </w:rPr>
      </w:pPr>
      <w:r w:rsidRPr="00897E0D">
        <w:rPr>
          <w:rFonts w:ascii="Arial" w:hAnsi="Arial" w:cs="Arial"/>
          <w:lang w:val="es-MX" w:eastAsia="es-MX"/>
        </w:rPr>
        <w:t>Es por ello que se determina que una vez autorizada la cesión, la Dirección cuyas atribuciones le competan de acuerdo a la materia, expedirá al cesionario una credencial de identificación, circunstancia que de igual manera se prevé en el acuerdo puesto a consideración por esta Comisión al Ayuntamiento.</w:t>
      </w:r>
    </w:p>
    <w:p w14:paraId="75A50634" w14:textId="452DF07B" w:rsidR="00140B25" w:rsidRPr="00897E0D" w:rsidRDefault="00140B25" w:rsidP="00140B25">
      <w:pPr>
        <w:tabs>
          <w:tab w:val="left" w:pos="6780"/>
        </w:tabs>
        <w:jc w:val="both"/>
        <w:rPr>
          <w:rFonts w:ascii="Arial" w:hAnsi="Arial" w:cs="Arial"/>
          <w:i/>
          <w:iCs/>
          <w:lang w:val="es-MX" w:eastAsia="es-MX"/>
        </w:rPr>
      </w:pPr>
      <w:r w:rsidRPr="00897E0D">
        <w:rPr>
          <w:rFonts w:ascii="Arial" w:hAnsi="Arial" w:cs="Arial"/>
          <w:i/>
          <w:iCs/>
          <w:lang w:val="es-MX" w:eastAsia="es-MX"/>
        </w:rPr>
        <w:tab/>
      </w:r>
    </w:p>
    <w:p w14:paraId="44969435" w14:textId="38F99683" w:rsidR="00C75D74" w:rsidRPr="00897E0D" w:rsidRDefault="00974307" w:rsidP="00506D10">
      <w:pPr>
        <w:pStyle w:val="Prrafodelista"/>
        <w:ind w:left="0"/>
        <w:jc w:val="both"/>
        <w:rPr>
          <w:rFonts w:ascii="Arial" w:hAnsi="Arial" w:cs="Arial"/>
          <w:lang w:val="es-MX"/>
        </w:rPr>
      </w:pPr>
      <w:r w:rsidRPr="00897E0D">
        <w:rPr>
          <w:rFonts w:ascii="Arial" w:hAnsi="Arial" w:cs="Arial"/>
          <w:b/>
          <w:bCs/>
          <w:lang w:val="es-MX"/>
        </w:rPr>
        <w:t xml:space="preserve">VI. </w:t>
      </w:r>
      <w:r w:rsidR="00506D10" w:rsidRPr="00897E0D">
        <w:rPr>
          <w:rFonts w:ascii="Arial" w:hAnsi="Arial" w:cs="Arial"/>
          <w:lang w:val="es-MX"/>
        </w:rPr>
        <w:t>De</w:t>
      </w:r>
      <w:r w:rsidR="00C75D74" w:rsidRPr="00897E0D">
        <w:rPr>
          <w:rFonts w:ascii="Arial" w:hAnsi="Arial" w:cs="Arial"/>
          <w:lang w:val="es-MX"/>
        </w:rPr>
        <w:t xml:space="preserve"> conformidad con lo dispuesto por el art</w:t>
      </w:r>
      <w:r w:rsidR="008D5454" w:rsidRPr="00897E0D">
        <w:rPr>
          <w:rFonts w:ascii="Arial" w:hAnsi="Arial" w:cs="Arial"/>
          <w:lang w:val="es-MX"/>
        </w:rPr>
        <w:t>í</w:t>
      </w:r>
      <w:r w:rsidR="00C75D74" w:rsidRPr="00897E0D">
        <w:rPr>
          <w:rFonts w:ascii="Arial" w:hAnsi="Arial" w:cs="Arial"/>
          <w:lang w:val="es-MX"/>
        </w:rPr>
        <w:t xml:space="preserve">culo </w:t>
      </w:r>
      <w:r w:rsidR="0041278E" w:rsidRPr="00897E0D">
        <w:rPr>
          <w:rFonts w:ascii="Arial" w:hAnsi="Arial" w:cs="Arial"/>
          <w:lang w:val="es-MX"/>
        </w:rPr>
        <w:t>83</w:t>
      </w:r>
      <w:r w:rsidR="00C75D74" w:rsidRPr="00897E0D">
        <w:rPr>
          <w:rFonts w:ascii="Arial" w:hAnsi="Arial" w:cs="Arial"/>
          <w:lang w:val="es-MX"/>
        </w:rPr>
        <w:t xml:space="preserve"> del Reglamento </w:t>
      </w:r>
      <w:r w:rsidR="00506D10" w:rsidRPr="00897E0D">
        <w:rPr>
          <w:rFonts w:ascii="Arial" w:hAnsi="Arial" w:cs="Arial"/>
          <w:lang w:val="es-MX"/>
        </w:rPr>
        <w:t xml:space="preserve">citado, </w:t>
      </w:r>
      <w:r w:rsidRPr="00897E0D">
        <w:rPr>
          <w:rFonts w:ascii="Arial" w:hAnsi="Arial" w:cs="Arial"/>
          <w:lang w:val="es-MX"/>
        </w:rPr>
        <w:t>esta Comisión</w:t>
      </w:r>
      <w:r w:rsidR="00C75D74" w:rsidRPr="00897E0D">
        <w:rPr>
          <w:rFonts w:ascii="Arial" w:hAnsi="Arial" w:cs="Arial"/>
          <w:lang w:val="es-MX"/>
        </w:rPr>
        <w:t xml:space="preserve"> llev</w:t>
      </w:r>
      <w:r w:rsidR="009F493E" w:rsidRPr="00897E0D">
        <w:rPr>
          <w:rFonts w:ascii="Arial" w:hAnsi="Arial" w:cs="Arial"/>
          <w:lang w:val="es-MX"/>
        </w:rPr>
        <w:t>ó</w:t>
      </w:r>
      <w:r w:rsidR="00C75D74" w:rsidRPr="00897E0D">
        <w:rPr>
          <w:rFonts w:ascii="Arial" w:hAnsi="Arial" w:cs="Arial"/>
          <w:lang w:val="es-MX"/>
        </w:rPr>
        <w:t xml:space="preserve"> a cabo </w:t>
      </w:r>
      <w:r w:rsidR="00506D10" w:rsidRPr="00897E0D">
        <w:rPr>
          <w:rFonts w:ascii="Arial" w:hAnsi="Arial" w:cs="Arial"/>
          <w:lang w:val="es-MX"/>
        </w:rPr>
        <w:t xml:space="preserve">el análisis, discusión y </w:t>
      </w:r>
      <w:r w:rsidR="00C75D74" w:rsidRPr="00897E0D">
        <w:rPr>
          <w:rFonts w:ascii="Arial" w:hAnsi="Arial" w:cs="Arial"/>
          <w:lang w:val="es-MX"/>
        </w:rPr>
        <w:t xml:space="preserve">dictaminación de las cesiones de derechos solicitadas, consistentes en </w:t>
      </w:r>
      <w:r w:rsidR="004E34A5" w:rsidRPr="00897E0D">
        <w:rPr>
          <w:rFonts w:ascii="Arial" w:hAnsi="Arial" w:cs="Arial"/>
          <w:lang w:val="es-MX"/>
        </w:rPr>
        <w:t>67</w:t>
      </w:r>
      <w:r w:rsidR="00C75D74" w:rsidRPr="00897E0D">
        <w:rPr>
          <w:rFonts w:ascii="Arial" w:hAnsi="Arial" w:cs="Arial"/>
          <w:lang w:val="es-MX"/>
        </w:rPr>
        <w:t xml:space="preserve"> (</w:t>
      </w:r>
      <w:r w:rsidR="004E34A5" w:rsidRPr="00897E0D">
        <w:rPr>
          <w:rFonts w:ascii="Arial" w:hAnsi="Arial" w:cs="Arial"/>
          <w:lang w:val="es-MX"/>
        </w:rPr>
        <w:t>sesenta y siete</w:t>
      </w:r>
      <w:r w:rsidR="00C75D74" w:rsidRPr="00897E0D">
        <w:rPr>
          <w:rFonts w:ascii="Arial" w:hAnsi="Arial" w:cs="Arial"/>
          <w:lang w:val="es-MX"/>
        </w:rPr>
        <w:t xml:space="preserve">) expedientes que forman parte de las solicitudes de cesión realizadas por los titulares del derecho, las que </w:t>
      </w:r>
      <w:r w:rsidR="00506D10" w:rsidRPr="00897E0D">
        <w:rPr>
          <w:rFonts w:ascii="Arial" w:hAnsi="Arial" w:cs="Arial"/>
          <w:lang w:val="es-MX"/>
        </w:rPr>
        <w:t xml:space="preserve">una vez cumpliendo los requisitos establecidos en el artículo 88 de la normativa municipal multicitada, </w:t>
      </w:r>
      <w:r w:rsidR="00C75D74" w:rsidRPr="00897E0D">
        <w:rPr>
          <w:rFonts w:ascii="Arial" w:hAnsi="Arial" w:cs="Arial"/>
          <w:lang w:val="es-MX"/>
        </w:rPr>
        <w:t>se ponen a consideración de éste H. Cuerpo Edilicio.</w:t>
      </w:r>
    </w:p>
    <w:p w14:paraId="5FC08460" w14:textId="77777777" w:rsidR="00C75D74" w:rsidRPr="00897E0D" w:rsidRDefault="00C75D74" w:rsidP="00C75D74">
      <w:pPr>
        <w:pStyle w:val="Default"/>
        <w:jc w:val="both"/>
        <w:rPr>
          <w:color w:val="auto"/>
          <w:lang w:eastAsia="es-ES"/>
        </w:rPr>
      </w:pPr>
    </w:p>
    <w:p w14:paraId="5BEC97D4" w14:textId="1E899668" w:rsidR="00897E0D" w:rsidRPr="00897E0D" w:rsidRDefault="00C75D74" w:rsidP="00C75D74">
      <w:pPr>
        <w:jc w:val="both"/>
        <w:outlineLvl w:val="0"/>
        <w:rPr>
          <w:rFonts w:ascii="Arial" w:hAnsi="Arial" w:cs="Arial"/>
          <w:lang w:val="es-MX"/>
        </w:rPr>
      </w:pPr>
      <w:r w:rsidRPr="00897E0D">
        <w:rPr>
          <w:rFonts w:ascii="Arial" w:hAnsi="Arial" w:cs="Arial"/>
          <w:lang w:val="es-MX"/>
        </w:rPr>
        <w:t>Por lo anteriormente expuesto y con fundamento</w:t>
      </w:r>
      <w:r w:rsidR="00B04DAA" w:rsidRPr="00897E0D">
        <w:rPr>
          <w:rFonts w:ascii="Arial" w:hAnsi="Arial" w:cs="Arial"/>
          <w:lang w:val="es-MX"/>
        </w:rPr>
        <w:t xml:space="preserve"> en los artículos 76, fracción</w:t>
      </w:r>
      <w:r w:rsidRPr="00897E0D">
        <w:rPr>
          <w:rFonts w:ascii="Arial" w:hAnsi="Arial" w:cs="Arial"/>
          <w:lang w:val="es-MX"/>
        </w:rPr>
        <w:t xml:space="preserve"> I inciso </w:t>
      </w:r>
      <w:r w:rsidR="00B04DAA" w:rsidRPr="00897E0D">
        <w:rPr>
          <w:rFonts w:ascii="Arial" w:hAnsi="Arial" w:cs="Arial"/>
          <w:lang w:val="es-MX"/>
        </w:rPr>
        <w:t>ñ</w:t>
      </w:r>
      <w:r w:rsidRPr="00897E0D">
        <w:rPr>
          <w:rFonts w:ascii="Arial" w:hAnsi="Arial" w:cs="Arial"/>
          <w:lang w:val="es-MX"/>
        </w:rPr>
        <w:t xml:space="preserve">), </w:t>
      </w:r>
      <w:r w:rsidR="00B04DAA" w:rsidRPr="00897E0D">
        <w:rPr>
          <w:rFonts w:ascii="Arial" w:hAnsi="Arial" w:cs="Arial"/>
          <w:lang w:val="es-MX"/>
        </w:rPr>
        <w:t>167 fracción X</w:t>
      </w:r>
      <w:r w:rsidR="00506D10" w:rsidRPr="00897E0D">
        <w:rPr>
          <w:rFonts w:ascii="Arial" w:hAnsi="Arial" w:cs="Arial"/>
          <w:lang w:val="es-MX"/>
        </w:rPr>
        <w:t>,</w:t>
      </w:r>
      <w:r w:rsidR="00897E0D" w:rsidRPr="00897E0D">
        <w:rPr>
          <w:rFonts w:ascii="Arial" w:hAnsi="Arial" w:cs="Arial"/>
          <w:lang w:val="es-MX"/>
        </w:rPr>
        <w:t xml:space="preserve"> </w:t>
      </w:r>
      <w:r w:rsidR="00B04DAA" w:rsidRPr="00897E0D">
        <w:rPr>
          <w:rFonts w:ascii="Arial" w:hAnsi="Arial" w:cs="Arial"/>
          <w:lang w:val="es-MX"/>
        </w:rPr>
        <w:t>174</w:t>
      </w:r>
      <w:r w:rsidRPr="00897E0D">
        <w:rPr>
          <w:rFonts w:ascii="Arial" w:hAnsi="Arial" w:cs="Arial"/>
          <w:lang w:val="es-MX"/>
        </w:rPr>
        <w:t xml:space="preserve"> de la Ley Orgánica Municipal para el Estado de Guanajuato</w:t>
      </w:r>
    </w:p>
    <w:p w14:paraId="77A34FE2" w14:textId="0DC8658D" w:rsidR="00C75D74" w:rsidRPr="00897E0D" w:rsidRDefault="00506D10" w:rsidP="00C75D74">
      <w:pPr>
        <w:jc w:val="both"/>
        <w:outlineLvl w:val="0"/>
        <w:rPr>
          <w:rFonts w:ascii="Arial" w:hAnsi="Arial" w:cs="Arial"/>
          <w:lang w:val="es-MX"/>
        </w:rPr>
      </w:pPr>
      <w:r w:rsidRPr="00897E0D">
        <w:rPr>
          <w:rFonts w:ascii="Arial" w:hAnsi="Arial" w:cs="Arial"/>
          <w:lang w:val="es-MX"/>
        </w:rPr>
        <w:t xml:space="preserve">y 83 del Reglamento de Mercados Públicos y Uso de la Vía Pública para el Ejercicio de la Actividad Comercial en el Municipio de León, Guanajuato, </w:t>
      </w:r>
      <w:r w:rsidR="00C75D74" w:rsidRPr="00897E0D">
        <w:rPr>
          <w:rFonts w:ascii="Arial" w:hAnsi="Arial" w:cs="Arial"/>
          <w:lang w:val="es-MX"/>
        </w:rPr>
        <w:t>se somete a la consideración del H. Ayuntamiento, la propuesta de los siguientes:</w:t>
      </w:r>
    </w:p>
    <w:p w14:paraId="4F3C785A" w14:textId="77777777" w:rsidR="00C75D74" w:rsidRPr="00897E0D" w:rsidRDefault="00C75D74" w:rsidP="00C75D74">
      <w:pPr>
        <w:contextualSpacing/>
        <w:jc w:val="both"/>
        <w:rPr>
          <w:rFonts w:ascii="Arial" w:hAnsi="Arial" w:cs="Arial"/>
          <w:b/>
          <w:lang w:val="es-MX"/>
        </w:rPr>
      </w:pPr>
    </w:p>
    <w:p w14:paraId="5DE1FA39" w14:textId="1CB5ACB2" w:rsidR="00C75D74" w:rsidRPr="00897E0D" w:rsidRDefault="00C75D74" w:rsidP="00C75D74">
      <w:pPr>
        <w:jc w:val="center"/>
        <w:rPr>
          <w:rFonts w:ascii="Arial" w:hAnsi="Arial" w:cs="Arial"/>
          <w:b/>
          <w:lang w:val="es-MX"/>
        </w:rPr>
      </w:pPr>
      <w:r w:rsidRPr="00897E0D">
        <w:rPr>
          <w:rFonts w:ascii="Arial" w:hAnsi="Arial" w:cs="Arial"/>
          <w:b/>
          <w:lang w:val="es-MX"/>
        </w:rPr>
        <w:t>A C U E R D O S</w:t>
      </w:r>
    </w:p>
    <w:p w14:paraId="41493B44" w14:textId="77777777" w:rsidR="00C75D74" w:rsidRPr="00897E0D" w:rsidRDefault="00C75D74" w:rsidP="00C75D74">
      <w:pPr>
        <w:jc w:val="center"/>
        <w:rPr>
          <w:rFonts w:ascii="Arial" w:hAnsi="Arial" w:cs="Arial"/>
          <w:b/>
          <w:lang w:val="es-MX"/>
        </w:rPr>
      </w:pPr>
    </w:p>
    <w:p w14:paraId="31738263" w14:textId="10CB8B57" w:rsidR="00C75D74" w:rsidRPr="00897E0D" w:rsidRDefault="00506D10" w:rsidP="00C75D74">
      <w:pPr>
        <w:autoSpaceDE w:val="0"/>
        <w:autoSpaceDN w:val="0"/>
        <w:adjustRightInd w:val="0"/>
        <w:jc w:val="both"/>
        <w:rPr>
          <w:rFonts w:ascii="Arial" w:hAnsi="Arial" w:cs="Arial"/>
          <w:lang w:val="es-MX"/>
        </w:rPr>
      </w:pPr>
      <w:r w:rsidRPr="00897E0D">
        <w:rPr>
          <w:rFonts w:ascii="Arial" w:hAnsi="Arial" w:cs="Arial"/>
          <w:b/>
          <w:lang w:val="es-MX"/>
        </w:rPr>
        <w:t>PRIMER</w:t>
      </w:r>
      <w:r w:rsidR="001E4FD3" w:rsidRPr="00897E0D">
        <w:rPr>
          <w:rFonts w:ascii="Arial" w:hAnsi="Arial" w:cs="Arial"/>
          <w:b/>
          <w:lang w:val="es-MX"/>
        </w:rPr>
        <w:t>O</w:t>
      </w:r>
      <w:r w:rsidRPr="00897E0D">
        <w:rPr>
          <w:rFonts w:ascii="Arial" w:hAnsi="Arial" w:cs="Arial"/>
          <w:b/>
          <w:lang w:val="es-MX"/>
        </w:rPr>
        <w:t>.</w:t>
      </w:r>
      <w:r w:rsidRPr="00897E0D">
        <w:rPr>
          <w:rFonts w:ascii="Arial" w:hAnsi="Arial" w:cs="Arial"/>
          <w:lang w:val="es-MX"/>
        </w:rPr>
        <w:t xml:space="preserve"> -</w:t>
      </w:r>
      <w:r w:rsidR="00C75D74" w:rsidRPr="00897E0D">
        <w:rPr>
          <w:rFonts w:ascii="Arial" w:hAnsi="Arial" w:cs="Arial"/>
          <w:lang w:val="es-MX"/>
        </w:rPr>
        <w:t xml:space="preserve"> Se </w:t>
      </w:r>
      <w:r w:rsidR="00C75D74" w:rsidRPr="00897E0D">
        <w:rPr>
          <w:rFonts w:ascii="Arial" w:hAnsi="Arial" w:cs="Arial"/>
          <w:b/>
          <w:i/>
          <w:lang w:val="es-MX"/>
        </w:rPr>
        <w:t>aprueba</w:t>
      </w:r>
      <w:r w:rsidR="00C75D74" w:rsidRPr="00897E0D">
        <w:rPr>
          <w:rFonts w:ascii="Arial" w:hAnsi="Arial" w:cs="Arial"/>
          <w:lang w:val="es-MX"/>
        </w:rPr>
        <w:t xml:space="preserve"> </w:t>
      </w:r>
      <w:bookmarkStart w:id="2" w:name="_Hlk85832134"/>
      <w:r w:rsidR="00B04DAA" w:rsidRPr="00897E0D">
        <w:rPr>
          <w:rFonts w:ascii="Arial" w:hAnsi="Arial" w:cs="Arial"/>
          <w:lang w:val="es-MX"/>
        </w:rPr>
        <w:t xml:space="preserve">la cesión </w:t>
      </w:r>
      <w:r w:rsidR="00C75D74" w:rsidRPr="00897E0D">
        <w:rPr>
          <w:rFonts w:ascii="Arial" w:hAnsi="Arial" w:cs="Arial"/>
          <w:lang w:val="es-MX"/>
        </w:rPr>
        <w:t xml:space="preserve">de derechos </w:t>
      </w:r>
      <w:r w:rsidRPr="00897E0D">
        <w:rPr>
          <w:rFonts w:ascii="Arial" w:hAnsi="Arial" w:cs="Arial"/>
          <w:lang w:val="es-MX"/>
        </w:rPr>
        <w:t xml:space="preserve">amparados a través </w:t>
      </w:r>
      <w:r w:rsidR="00B04DAA" w:rsidRPr="00897E0D">
        <w:rPr>
          <w:rFonts w:ascii="Arial" w:hAnsi="Arial" w:cs="Arial"/>
          <w:lang w:val="es-MX"/>
        </w:rPr>
        <w:t>de las cédulas de empadronamiento y/o credenciales de identificación para el ejercicio del servicio público de mercados que corresponde a</w:t>
      </w:r>
      <w:r w:rsidR="00C75D74" w:rsidRPr="00897E0D">
        <w:rPr>
          <w:rFonts w:ascii="Arial" w:hAnsi="Arial" w:cs="Arial"/>
          <w:lang w:val="es-MX"/>
        </w:rPr>
        <w:t xml:space="preserve"> los </w:t>
      </w:r>
      <w:r w:rsidR="004E34A5" w:rsidRPr="00897E0D">
        <w:rPr>
          <w:rFonts w:ascii="Arial" w:hAnsi="Arial" w:cs="Arial"/>
          <w:lang w:val="es-MX"/>
        </w:rPr>
        <w:t>67</w:t>
      </w:r>
      <w:r w:rsidR="00B70D1D" w:rsidRPr="00897E0D">
        <w:rPr>
          <w:rFonts w:ascii="Arial" w:hAnsi="Arial" w:cs="Arial"/>
          <w:lang w:val="es-MX"/>
        </w:rPr>
        <w:t xml:space="preserve"> (</w:t>
      </w:r>
      <w:r w:rsidR="004E34A5" w:rsidRPr="00897E0D">
        <w:rPr>
          <w:rFonts w:ascii="Arial" w:hAnsi="Arial" w:cs="Arial"/>
          <w:lang w:val="es-MX"/>
        </w:rPr>
        <w:t>sesenta y siete</w:t>
      </w:r>
      <w:r w:rsidR="00B70D1D" w:rsidRPr="00897E0D">
        <w:rPr>
          <w:rFonts w:ascii="Arial" w:hAnsi="Arial" w:cs="Arial"/>
          <w:lang w:val="es-MX"/>
        </w:rPr>
        <w:t>)</w:t>
      </w:r>
      <w:r w:rsidR="004F0B1C" w:rsidRPr="00897E0D">
        <w:rPr>
          <w:rFonts w:ascii="Arial" w:hAnsi="Arial" w:cs="Arial"/>
          <w:lang w:val="es-MX"/>
        </w:rPr>
        <w:t xml:space="preserve"> </w:t>
      </w:r>
      <w:r w:rsidR="00C75D74" w:rsidRPr="00897E0D">
        <w:rPr>
          <w:rFonts w:ascii="Arial" w:hAnsi="Arial" w:cs="Arial"/>
          <w:lang w:val="es-MX"/>
        </w:rPr>
        <w:t xml:space="preserve">expedientes que se enlistan en el anexo único del presente </w:t>
      </w:r>
      <w:r w:rsidR="00B04DAA" w:rsidRPr="00897E0D">
        <w:rPr>
          <w:rFonts w:ascii="Arial" w:hAnsi="Arial" w:cs="Arial"/>
          <w:lang w:val="es-MX"/>
        </w:rPr>
        <w:t xml:space="preserve">acuerdo, </w:t>
      </w:r>
      <w:r w:rsidR="00C75D74" w:rsidRPr="00897E0D">
        <w:rPr>
          <w:rFonts w:ascii="Arial" w:hAnsi="Arial" w:cs="Arial"/>
          <w:lang w:val="es-MX"/>
        </w:rPr>
        <w:t>para quedar regularizados en el trámite solicitado por parte de los comerciantes.</w:t>
      </w:r>
    </w:p>
    <w:p w14:paraId="375DCBE9" w14:textId="77777777" w:rsidR="00C75D74" w:rsidRPr="00897E0D" w:rsidRDefault="00C75D74" w:rsidP="00C75D74">
      <w:pPr>
        <w:autoSpaceDE w:val="0"/>
        <w:autoSpaceDN w:val="0"/>
        <w:adjustRightInd w:val="0"/>
        <w:jc w:val="both"/>
        <w:rPr>
          <w:rFonts w:ascii="Arial" w:hAnsi="Arial" w:cs="Arial"/>
          <w:lang w:val="es-MX"/>
        </w:rPr>
      </w:pPr>
    </w:p>
    <w:bookmarkEnd w:id="2"/>
    <w:p w14:paraId="2464691C" w14:textId="25EE2610" w:rsidR="00C75D74" w:rsidRPr="00897E0D" w:rsidRDefault="00506D10" w:rsidP="00C75D74">
      <w:pPr>
        <w:autoSpaceDE w:val="0"/>
        <w:autoSpaceDN w:val="0"/>
        <w:adjustRightInd w:val="0"/>
        <w:jc w:val="both"/>
        <w:rPr>
          <w:rFonts w:ascii="Arial" w:hAnsi="Arial" w:cs="Arial"/>
          <w:lang w:val="es-MX"/>
        </w:rPr>
      </w:pPr>
      <w:r w:rsidRPr="00897E0D">
        <w:rPr>
          <w:rFonts w:ascii="Arial" w:hAnsi="Arial" w:cs="Arial"/>
          <w:b/>
          <w:lang w:val="es-MX"/>
        </w:rPr>
        <w:t>SEGUNDO. -</w:t>
      </w:r>
      <w:r w:rsidR="00C75D74" w:rsidRPr="00897E0D">
        <w:rPr>
          <w:rFonts w:ascii="Arial" w:hAnsi="Arial" w:cs="Arial"/>
          <w:lang w:val="es-MX"/>
        </w:rPr>
        <w:t xml:space="preserve"> Se </w:t>
      </w:r>
      <w:r w:rsidR="00C75D74" w:rsidRPr="00897E0D">
        <w:rPr>
          <w:rFonts w:ascii="Arial" w:hAnsi="Arial" w:cs="Arial"/>
          <w:b/>
          <w:i/>
          <w:lang w:val="es-MX"/>
        </w:rPr>
        <w:t>autoriza</w:t>
      </w:r>
      <w:r w:rsidR="00C75D74" w:rsidRPr="00897E0D">
        <w:rPr>
          <w:rFonts w:ascii="Arial" w:hAnsi="Arial" w:cs="Arial"/>
          <w:lang w:val="es-MX"/>
        </w:rPr>
        <w:t xml:space="preserve"> la sustitución de cédulas de empadronamiento y/o</w:t>
      </w:r>
      <w:r w:rsidR="008D5454" w:rsidRPr="00897E0D">
        <w:rPr>
          <w:rFonts w:ascii="Arial" w:hAnsi="Arial" w:cs="Arial"/>
          <w:lang w:val="es-MX"/>
        </w:rPr>
        <w:t xml:space="preserve"> credenciales de identificación </w:t>
      </w:r>
      <w:r w:rsidR="00911057" w:rsidRPr="00897E0D">
        <w:rPr>
          <w:rFonts w:ascii="Arial" w:hAnsi="Arial" w:cs="Arial"/>
          <w:lang w:val="es-MX"/>
        </w:rPr>
        <w:t xml:space="preserve">por títulos concesión </w:t>
      </w:r>
      <w:r w:rsidR="008D5454" w:rsidRPr="00897E0D">
        <w:rPr>
          <w:rFonts w:ascii="Arial" w:hAnsi="Arial" w:cs="Arial"/>
          <w:lang w:val="es-MX"/>
        </w:rPr>
        <w:t>en favor de los cesionarios</w:t>
      </w:r>
      <w:r w:rsidR="00C75D74" w:rsidRPr="00897E0D">
        <w:rPr>
          <w:rFonts w:ascii="Arial" w:hAnsi="Arial" w:cs="Arial"/>
          <w:lang w:val="es-MX"/>
        </w:rPr>
        <w:t xml:space="preserve">, que corresponden al listado de los </w:t>
      </w:r>
      <w:r w:rsidR="004E34A5" w:rsidRPr="00897E0D">
        <w:rPr>
          <w:rFonts w:ascii="Arial" w:hAnsi="Arial" w:cs="Arial"/>
          <w:lang w:val="es-MX"/>
        </w:rPr>
        <w:t>67</w:t>
      </w:r>
      <w:r w:rsidR="007F6F67" w:rsidRPr="00897E0D">
        <w:rPr>
          <w:rFonts w:ascii="Arial" w:hAnsi="Arial" w:cs="Arial"/>
          <w:lang w:val="es-MX"/>
        </w:rPr>
        <w:t xml:space="preserve"> (</w:t>
      </w:r>
      <w:r w:rsidR="004E34A5" w:rsidRPr="00897E0D">
        <w:rPr>
          <w:rFonts w:ascii="Arial" w:hAnsi="Arial" w:cs="Arial"/>
          <w:lang w:val="es-MX"/>
        </w:rPr>
        <w:t>sesenta y siete</w:t>
      </w:r>
      <w:r w:rsidR="007F6F67" w:rsidRPr="00897E0D">
        <w:rPr>
          <w:rFonts w:ascii="Arial" w:hAnsi="Arial" w:cs="Arial"/>
          <w:lang w:val="es-MX"/>
        </w:rPr>
        <w:t>)</w:t>
      </w:r>
      <w:r w:rsidR="004F0B1C" w:rsidRPr="00897E0D">
        <w:rPr>
          <w:rFonts w:ascii="Arial" w:hAnsi="Arial" w:cs="Arial"/>
          <w:lang w:val="es-MX"/>
        </w:rPr>
        <w:t xml:space="preserve"> </w:t>
      </w:r>
      <w:r w:rsidR="00C75D74" w:rsidRPr="00897E0D">
        <w:rPr>
          <w:rFonts w:ascii="Arial" w:hAnsi="Arial" w:cs="Arial"/>
          <w:lang w:val="es-MX"/>
        </w:rPr>
        <w:t xml:space="preserve">expedientes de cesiones de derechos </w:t>
      </w:r>
      <w:r w:rsidR="00B04DAA" w:rsidRPr="00897E0D">
        <w:rPr>
          <w:rFonts w:ascii="Arial" w:hAnsi="Arial" w:cs="Arial"/>
          <w:lang w:val="es-MX"/>
        </w:rPr>
        <w:t>para el ejercicio del servicio público de mercados aprobadas</w:t>
      </w:r>
      <w:r w:rsidR="00C75D74" w:rsidRPr="00897E0D">
        <w:rPr>
          <w:rFonts w:ascii="Arial" w:hAnsi="Arial" w:cs="Arial"/>
          <w:lang w:val="es-MX"/>
        </w:rPr>
        <w:t xml:space="preserve">. </w:t>
      </w:r>
    </w:p>
    <w:p w14:paraId="3B212B3E" w14:textId="77777777" w:rsidR="00C75D74" w:rsidRPr="00897E0D" w:rsidRDefault="00C75D74" w:rsidP="00C75D74">
      <w:pPr>
        <w:autoSpaceDE w:val="0"/>
        <w:autoSpaceDN w:val="0"/>
        <w:adjustRightInd w:val="0"/>
        <w:jc w:val="both"/>
        <w:rPr>
          <w:rFonts w:ascii="Arial" w:hAnsi="Arial" w:cs="Arial"/>
          <w:lang w:val="es-MX"/>
        </w:rPr>
      </w:pPr>
    </w:p>
    <w:p w14:paraId="0284BBB9" w14:textId="20C2F5E7" w:rsidR="00C75D74" w:rsidRPr="00897E0D" w:rsidRDefault="00974307" w:rsidP="00C75D74">
      <w:pPr>
        <w:autoSpaceDE w:val="0"/>
        <w:autoSpaceDN w:val="0"/>
        <w:adjustRightInd w:val="0"/>
        <w:jc w:val="both"/>
        <w:rPr>
          <w:rFonts w:ascii="Arial" w:hAnsi="Arial" w:cs="Arial"/>
          <w:lang w:val="es-MX"/>
        </w:rPr>
      </w:pPr>
      <w:r w:rsidRPr="00897E0D">
        <w:rPr>
          <w:rFonts w:ascii="Arial" w:hAnsi="Arial" w:cs="Arial"/>
          <w:b/>
          <w:lang w:val="es-MX"/>
        </w:rPr>
        <w:t>TERCERO. -</w:t>
      </w:r>
      <w:r w:rsidR="00C75D74" w:rsidRPr="00897E0D">
        <w:rPr>
          <w:rFonts w:ascii="Arial" w:hAnsi="Arial" w:cs="Arial"/>
          <w:b/>
          <w:lang w:val="es-MX"/>
        </w:rPr>
        <w:t xml:space="preserve"> </w:t>
      </w:r>
      <w:r w:rsidR="00C75D74" w:rsidRPr="00897E0D">
        <w:rPr>
          <w:rFonts w:ascii="Arial" w:hAnsi="Arial" w:cs="Arial"/>
          <w:lang w:val="es-MX"/>
        </w:rPr>
        <w:t xml:space="preserve"> Se </w:t>
      </w:r>
      <w:r w:rsidR="00C75D74" w:rsidRPr="00897E0D">
        <w:rPr>
          <w:rFonts w:ascii="Arial" w:hAnsi="Arial" w:cs="Arial"/>
          <w:b/>
          <w:i/>
          <w:lang w:val="es-MX"/>
        </w:rPr>
        <w:t>instruye</w:t>
      </w:r>
      <w:r w:rsidR="00C75D74" w:rsidRPr="00897E0D">
        <w:rPr>
          <w:rFonts w:ascii="Arial" w:hAnsi="Arial" w:cs="Arial"/>
          <w:lang w:val="es-MX"/>
        </w:rPr>
        <w:t xml:space="preserve"> y se </w:t>
      </w:r>
      <w:r w:rsidR="00A53335" w:rsidRPr="00897E0D">
        <w:rPr>
          <w:rFonts w:ascii="Arial" w:hAnsi="Arial" w:cs="Arial"/>
          <w:b/>
          <w:i/>
          <w:lang w:val="es-MX"/>
        </w:rPr>
        <w:t>autoriza</w:t>
      </w:r>
      <w:r w:rsidR="00A53335" w:rsidRPr="00897E0D">
        <w:rPr>
          <w:rFonts w:ascii="Arial" w:hAnsi="Arial" w:cs="Arial"/>
          <w:lang w:val="es-MX"/>
        </w:rPr>
        <w:t xml:space="preserve"> </w:t>
      </w:r>
      <w:r w:rsidR="00C75D74" w:rsidRPr="00897E0D">
        <w:rPr>
          <w:rFonts w:ascii="Arial" w:hAnsi="Arial" w:cs="Arial"/>
          <w:lang w:val="es-MX"/>
        </w:rPr>
        <w:t>a la Dirección General de Economía, para que realice todos los actos jurídicos y administrativos que resulten necesarios para dar cumplimiento a los puntos de acuerdo contenidos en el dictamen que se aprueba.</w:t>
      </w:r>
    </w:p>
    <w:p w14:paraId="392265A6" w14:textId="77777777" w:rsidR="00C75D74" w:rsidRPr="00897E0D" w:rsidRDefault="00C75D74" w:rsidP="00C75D74">
      <w:pPr>
        <w:autoSpaceDE w:val="0"/>
        <w:autoSpaceDN w:val="0"/>
        <w:adjustRightInd w:val="0"/>
        <w:jc w:val="both"/>
        <w:rPr>
          <w:rFonts w:ascii="Arial" w:hAnsi="Arial" w:cs="Arial"/>
          <w:lang w:val="es-MX"/>
        </w:rPr>
      </w:pPr>
    </w:p>
    <w:p w14:paraId="77A2690C" w14:textId="77777777" w:rsidR="008D5454" w:rsidRPr="00897E0D" w:rsidRDefault="008D5454" w:rsidP="008D5454">
      <w:pPr>
        <w:jc w:val="center"/>
        <w:rPr>
          <w:rFonts w:ascii="Arial" w:hAnsi="Arial" w:cs="Arial"/>
          <w:b/>
          <w:bCs/>
          <w:lang w:val="es-MX"/>
        </w:rPr>
      </w:pPr>
      <w:r w:rsidRPr="00897E0D">
        <w:rPr>
          <w:rFonts w:ascii="Arial" w:hAnsi="Arial" w:cs="Arial"/>
          <w:b/>
          <w:bCs/>
          <w:lang w:val="es-MX"/>
        </w:rPr>
        <w:t>“EL TRABAJO TODO LO VENCE”</w:t>
      </w:r>
    </w:p>
    <w:p w14:paraId="1C3CBEAF" w14:textId="295D7A06" w:rsidR="007F6F67" w:rsidRPr="00897E0D" w:rsidRDefault="007F6F67" w:rsidP="008D5454">
      <w:pPr>
        <w:shd w:val="clear" w:color="auto" w:fill="FFFFFF"/>
        <w:jc w:val="center"/>
        <w:rPr>
          <w:rFonts w:ascii="Arial" w:hAnsi="Arial" w:cs="Arial"/>
          <w:b/>
          <w:lang w:val="es-MX"/>
        </w:rPr>
      </w:pPr>
      <w:r w:rsidRPr="00897E0D">
        <w:rPr>
          <w:rFonts w:ascii="Arial" w:hAnsi="Arial" w:cs="Arial"/>
          <w:b/>
          <w:lang w:val="es-MX"/>
        </w:rPr>
        <w:t xml:space="preserve">“2021, </w:t>
      </w:r>
      <w:r w:rsidR="00874A33" w:rsidRPr="00897E0D">
        <w:rPr>
          <w:rFonts w:ascii="Arial" w:hAnsi="Arial" w:cs="Arial"/>
          <w:b/>
          <w:lang w:val="es-MX"/>
        </w:rPr>
        <w:t>AÑO DE LA INDEPENDENCIA</w:t>
      </w:r>
      <w:r w:rsidRPr="00897E0D">
        <w:rPr>
          <w:rFonts w:ascii="Arial" w:hAnsi="Arial" w:cs="Arial"/>
          <w:b/>
          <w:lang w:val="es-MX"/>
        </w:rPr>
        <w:t>”</w:t>
      </w:r>
    </w:p>
    <w:p w14:paraId="4ACEE15C" w14:textId="7947FEFD" w:rsidR="008D5454" w:rsidRPr="00897E0D" w:rsidRDefault="008D5454" w:rsidP="008D5454">
      <w:pPr>
        <w:shd w:val="clear" w:color="auto" w:fill="FFFFFF"/>
        <w:jc w:val="center"/>
        <w:rPr>
          <w:rFonts w:ascii="Arial" w:hAnsi="Arial" w:cs="Arial"/>
          <w:b/>
          <w:lang w:val="es-MX"/>
        </w:rPr>
      </w:pPr>
      <w:r w:rsidRPr="00897E0D">
        <w:rPr>
          <w:rFonts w:ascii="Arial" w:hAnsi="Arial" w:cs="Arial"/>
          <w:b/>
          <w:lang w:val="es-MX"/>
        </w:rPr>
        <w:t xml:space="preserve">LEÓN GUANAJUATO, A </w:t>
      </w:r>
      <w:r w:rsidR="007A4DC6" w:rsidRPr="00897E0D">
        <w:rPr>
          <w:rFonts w:ascii="Arial" w:hAnsi="Arial" w:cs="Arial"/>
          <w:b/>
          <w:lang w:val="es-MX"/>
        </w:rPr>
        <w:t>25</w:t>
      </w:r>
      <w:r w:rsidRPr="00897E0D">
        <w:rPr>
          <w:rFonts w:ascii="Arial" w:hAnsi="Arial" w:cs="Arial"/>
          <w:b/>
          <w:lang w:val="es-MX"/>
        </w:rPr>
        <w:t xml:space="preserve"> DE </w:t>
      </w:r>
      <w:r w:rsidR="007A4DC6" w:rsidRPr="00897E0D">
        <w:rPr>
          <w:rFonts w:ascii="Arial" w:hAnsi="Arial" w:cs="Arial"/>
          <w:b/>
          <w:lang w:val="es-MX"/>
        </w:rPr>
        <w:t>OCTUBRE</w:t>
      </w:r>
      <w:r w:rsidR="00B70D1D" w:rsidRPr="00897E0D">
        <w:rPr>
          <w:rFonts w:ascii="Arial" w:hAnsi="Arial" w:cs="Arial"/>
          <w:b/>
          <w:lang w:val="es-MX"/>
        </w:rPr>
        <w:t xml:space="preserve"> DE 202</w:t>
      </w:r>
      <w:r w:rsidR="00874A33" w:rsidRPr="00897E0D">
        <w:rPr>
          <w:rFonts w:ascii="Arial" w:hAnsi="Arial" w:cs="Arial"/>
          <w:b/>
          <w:lang w:val="es-MX"/>
        </w:rPr>
        <w:t>1</w:t>
      </w:r>
    </w:p>
    <w:p w14:paraId="5A0E3488" w14:textId="77777777" w:rsidR="00481AD4" w:rsidRPr="00897E0D" w:rsidRDefault="00481AD4" w:rsidP="008D5454">
      <w:pPr>
        <w:shd w:val="clear" w:color="auto" w:fill="FFFFFF"/>
        <w:jc w:val="center"/>
        <w:rPr>
          <w:rFonts w:ascii="Arial" w:hAnsi="Arial" w:cs="Arial"/>
          <w:b/>
          <w:lang w:val="es-MX"/>
        </w:rPr>
      </w:pPr>
    </w:p>
    <w:p w14:paraId="7DA851F2" w14:textId="72605430" w:rsidR="008D5454" w:rsidRPr="00897E0D" w:rsidRDefault="008D5454" w:rsidP="008D5454">
      <w:pPr>
        <w:ind w:left="-142"/>
        <w:jc w:val="center"/>
        <w:rPr>
          <w:rFonts w:ascii="Arial" w:hAnsi="Arial" w:cs="Arial"/>
          <w:b/>
          <w:lang w:val="es-MX"/>
        </w:rPr>
      </w:pPr>
      <w:r w:rsidRPr="00897E0D">
        <w:rPr>
          <w:rFonts w:ascii="Arial" w:hAnsi="Arial" w:cs="Arial"/>
          <w:b/>
          <w:lang w:val="es-MX"/>
        </w:rPr>
        <w:t>INTEGRANTES DE LA COMISIÓN DE DESARROLLO ECONÓMICO</w:t>
      </w:r>
      <w:r w:rsidR="007A4DC6" w:rsidRPr="00897E0D">
        <w:rPr>
          <w:rFonts w:ascii="Arial" w:hAnsi="Arial" w:cs="Arial"/>
          <w:b/>
          <w:lang w:val="es-MX"/>
        </w:rPr>
        <w:t>, INNOVACIÓN Y TURISMO</w:t>
      </w:r>
    </w:p>
    <w:p w14:paraId="3D5CB4B7" w14:textId="77777777" w:rsidR="008D5454" w:rsidRPr="00897E0D" w:rsidRDefault="008D5454" w:rsidP="008D5454">
      <w:pPr>
        <w:rPr>
          <w:rFonts w:ascii="Arial" w:eastAsia="Cambria" w:hAnsi="Arial" w:cs="Arial"/>
          <w:b/>
          <w:lang w:val="es-MX" w:eastAsia="en-US"/>
        </w:rPr>
      </w:pPr>
    </w:p>
    <w:p w14:paraId="288D9770" w14:textId="77777777" w:rsidR="008D5454" w:rsidRPr="00897E0D" w:rsidRDefault="008D5454" w:rsidP="008D5454">
      <w:pPr>
        <w:rPr>
          <w:rFonts w:ascii="Arial" w:hAnsi="Arial" w:cs="Arial"/>
          <w:b/>
          <w:lang w:val="es-MX"/>
        </w:rPr>
      </w:pPr>
    </w:p>
    <w:p w14:paraId="5AF77E0D" w14:textId="77777777" w:rsidR="00AF053C" w:rsidRPr="00897E0D" w:rsidRDefault="00AF053C" w:rsidP="008D5454">
      <w:pPr>
        <w:rPr>
          <w:rFonts w:ascii="Arial" w:hAnsi="Arial" w:cs="Arial"/>
          <w:b/>
          <w:lang w:val="es-MX"/>
        </w:rPr>
      </w:pPr>
    </w:p>
    <w:p w14:paraId="63AB94CF" w14:textId="77777777" w:rsidR="00AF053C" w:rsidRPr="00897E0D" w:rsidRDefault="00AF053C" w:rsidP="008D5454">
      <w:pPr>
        <w:rPr>
          <w:rFonts w:ascii="Arial" w:hAnsi="Arial" w:cs="Arial"/>
          <w:b/>
          <w:lang w:val="es-MX"/>
        </w:rPr>
      </w:pPr>
    </w:p>
    <w:p w14:paraId="4878AC1B" w14:textId="5F729ABC" w:rsidR="00911057" w:rsidRPr="00897E0D" w:rsidRDefault="00E21664" w:rsidP="008D5454">
      <w:pPr>
        <w:rPr>
          <w:rFonts w:ascii="Arial" w:hAnsi="Arial" w:cs="Arial"/>
          <w:b/>
          <w:lang w:val="es-MX"/>
        </w:rPr>
      </w:pPr>
      <w:r w:rsidRPr="00897E0D">
        <w:rPr>
          <w:rFonts w:ascii="Arial" w:hAnsi="Arial" w:cs="Arial"/>
          <w:b/>
          <w:lang w:val="es-MX"/>
        </w:rPr>
        <w:t xml:space="preserve">                                              </w:t>
      </w:r>
    </w:p>
    <w:p w14:paraId="586F58A8" w14:textId="051C4DAF" w:rsidR="008D5454" w:rsidRPr="00897E0D" w:rsidRDefault="004E34A5" w:rsidP="008D5454">
      <w:pPr>
        <w:rPr>
          <w:rFonts w:ascii="Arial" w:hAnsi="Arial" w:cs="Arial"/>
          <w:b/>
          <w:lang w:val="es-MX"/>
        </w:rPr>
      </w:pPr>
      <w:r w:rsidRPr="00897E0D">
        <w:rPr>
          <w:rFonts w:ascii="Arial" w:hAnsi="Arial" w:cs="Arial"/>
          <w:b/>
          <w:lang w:val="es-MX"/>
        </w:rPr>
        <w:t>CARLOS RAMÓN ROMO RAMSDEN</w:t>
      </w:r>
    </w:p>
    <w:p w14:paraId="42A8FE7F" w14:textId="77777777" w:rsidR="008D5454" w:rsidRPr="00897E0D" w:rsidRDefault="008D5454" w:rsidP="008D5454">
      <w:pPr>
        <w:rPr>
          <w:rFonts w:ascii="Arial" w:hAnsi="Arial" w:cs="Arial"/>
          <w:b/>
          <w:lang w:val="es-MX"/>
        </w:rPr>
      </w:pPr>
      <w:r w:rsidRPr="00897E0D">
        <w:rPr>
          <w:rFonts w:ascii="Arial" w:hAnsi="Arial" w:cs="Arial"/>
          <w:b/>
          <w:lang w:val="es-MX"/>
        </w:rPr>
        <w:t>REGIDOR</w:t>
      </w:r>
    </w:p>
    <w:p w14:paraId="57497397" w14:textId="77777777" w:rsidR="00874A33" w:rsidRPr="00897E0D" w:rsidRDefault="00874A33" w:rsidP="008D5454">
      <w:pPr>
        <w:tabs>
          <w:tab w:val="left" w:pos="1134"/>
        </w:tabs>
        <w:ind w:right="14"/>
        <w:rPr>
          <w:rFonts w:ascii="Arial" w:hAnsi="Arial" w:cs="Arial"/>
          <w:b/>
          <w:lang w:val="es-MX"/>
        </w:rPr>
      </w:pPr>
    </w:p>
    <w:p w14:paraId="33DC5B40" w14:textId="77777777" w:rsidR="00AF053C" w:rsidRPr="00897E0D" w:rsidRDefault="00AF053C" w:rsidP="008D5454">
      <w:pPr>
        <w:tabs>
          <w:tab w:val="left" w:pos="1134"/>
        </w:tabs>
        <w:ind w:right="14"/>
        <w:rPr>
          <w:rFonts w:ascii="Arial" w:hAnsi="Arial" w:cs="Arial"/>
          <w:b/>
          <w:lang w:val="es-MX"/>
        </w:rPr>
      </w:pPr>
    </w:p>
    <w:p w14:paraId="27A58616" w14:textId="5CB1852D" w:rsidR="00911057" w:rsidRPr="00897E0D" w:rsidRDefault="00911057" w:rsidP="009F493E">
      <w:pPr>
        <w:tabs>
          <w:tab w:val="left" w:pos="1134"/>
        </w:tabs>
        <w:ind w:right="14"/>
        <w:jc w:val="right"/>
        <w:rPr>
          <w:rFonts w:ascii="Arial" w:hAnsi="Arial" w:cs="Arial"/>
          <w:b/>
          <w:lang w:val="es-MX"/>
        </w:rPr>
      </w:pPr>
    </w:p>
    <w:p w14:paraId="1415B9AF" w14:textId="2DF64B1E" w:rsidR="008D5454" w:rsidRPr="00897E0D" w:rsidRDefault="004E34A5" w:rsidP="009F493E">
      <w:pPr>
        <w:tabs>
          <w:tab w:val="left" w:pos="1134"/>
        </w:tabs>
        <w:ind w:right="14"/>
        <w:jc w:val="right"/>
        <w:rPr>
          <w:rFonts w:ascii="Arial" w:hAnsi="Arial" w:cs="Arial"/>
          <w:b/>
          <w:lang w:val="es-MX"/>
        </w:rPr>
      </w:pPr>
      <w:r w:rsidRPr="00897E0D">
        <w:rPr>
          <w:rFonts w:ascii="Arial" w:hAnsi="Arial" w:cs="Arial"/>
          <w:b/>
          <w:lang w:val="es-MX"/>
        </w:rPr>
        <w:t>LUZ GRACIELA RODRÍGUEZ MARTÍNEZ</w:t>
      </w:r>
    </w:p>
    <w:p w14:paraId="20813130" w14:textId="77777777" w:rsidR="008D5454" w:rsidRPr="00897E0D" w:rsidRDefault="008D5454" w:rsidP="009F493E">
      <w:pPr>
        <w:tabs>
          <w:tab w:val="left" w:pos="1134"/>
        </w:tabs>
        <w:ind w:right="14"/>
        <w:jc w:val="right"/>
        <w:rPr>
          <w:rFonts w:ascii="Arial" w:hAnsi="Arial" w:cs="Arial"/>
          <w:b/>
          <w:lang w:val="es-MX"/>
        </w:rPr>
      </w:pPr>
      <w:r w:rsidRPr="00897E0D">
        <w:rPr>
          <w:rFonts w:ascii="Arial" w:hAnsi="Arial" w:cs="Arial"/>
          <w:b/>
          <w:lang w:val="es-MX"/>
        </w:rPr>
        <w:t>REGIDORA</w:t>
      </w:r>
    </w:p>
    <w:p w14:paraId="25C551FE" w14:textId="77777777" w:rsidR="00C44153" w:rsidRPr="00897E0D" w:rsidRDefault="00C44153" w:rsidP="009F493E">
      <w:pPr>
        <w:jc w:val="both"/>
        <w:rPr>
          <w:rFonts w:ascii="Arial" w:hAnsi="Arial" w:cs="Arial"/>
          <w:b/>
          <w:lang w:val="es-MX"/>
        </w:rPr>
      </w:pPr>
    </w:p>
    <w:p w14:paraId="0DD5B8DF" w14:textId="26EE0545" w:rsidR="00C44153" w:rsidRPr="00897E0D" w:rsidRDefault="00C44153" w:rsidP="00C44153">
      <w:pPr>
        <w:tabs>
          <w:tab w:val="left" w:pos="1134"/>
        </w:tabs>
        <w:ind w:right="14"/>
        <w:rPr>
          <w:rFonts w:ascii="Arial" w:hAnsi="Arial" w:cs="Arial"/>
          <w:b/>
          <w:lang w:val="es-MX"/>
        </w:rPr>
      </w:pPr>
      <w:r w:rsidRPr="00897E0D">
        <w:rPr>
          <w:rFonts w:ascii="Arial" w:hAnsi="Arial" w:cs="Arial"/>
          <w:b/>
          <w:lang w:val="es-MX"/>
        </w:rPr>
        <w:t xml:space="preserve">                                               </w:t>
      </w:r>
    </w:p>
    <w:p w14:paraId="5B220B51" w14:textId="7755A9D0" w:rsidR="00C44153" w:rsidRPr="00897E0D" w:rsidRDefault="004E34A5" w:rsidP="00C44153">
      <w:pPr>
        <w:rPr>
          <w:rFonts w:ascii="Arial" w:hAnsi="Arial" w:cs="Arial"/>
          <w:b/>
          <w:lang w:val="es-MX"/>
        </w:rPr>
      </w:pPr>
      <w:r w:rsidRPr="00897E0D">
        <w:rPr>
          <w:rFonts w:ascii="Arial" w:hAnsi="Arial" w:cs="Arial"/>
          <w:b/>
          <w:lang w:val="es-MX"/>
        </w:rPr>
        <w:t>J. GUADALUPE VERA HERNÁNDEZ</w:t>
      </w:r>
    </w:p>
    <w:p w14:paraId="44190721" w14:textId="3561466F" w:rsidR="00C44153" w:rsidRPr="00897E0D" w:rsidRDefault="00C44153" w:rsidP="00C44153">
      <w:pPr>
        <w:tabs>
          <w:tab w:val="left" w:pos="1134"/>
        </w:tabs>
        <w:ind w:right="14"/>
        <w:rPr>
          <w:rFonts w:ascii="Arial" w:hAnsi="Arial" w:cs="Arial"/>
          <w:b/>
          <w:lang w:val="es-MX"/>
        </w:rPr>
      </w:pPr>
      <w:r w:rsidRPr="00897E0D">
        <w:rPr>
          <w:rFonts w:ascii="Arial" w:hAnsi="Arial" w:cs="Arial"/>
          <w:b/>
          <w:lang w:val="es-MX"/>
        </w:rPr>
        <w:t>REGIDOR</w:t>
      </w:r>
    </w:p>
    <w:p w14:paraId="1DE74701" w14:textId="77777777" w:rsidR="00C44153" w:rsidRPr="00897E0D" w:rsidRDefault="00C44153" w:rsidP="009F493E">
      <w:pPr>
        <w:jc w:val="both"/>
        <w:rPr>
          <w:rFonts w:ascii="Arial" w:hAnsi="Arial" w:cs="Arial"/>
          <w:b/>
          <w:lang w:val="es-MX"/>
        </w:rPr>
      </w:pPr>
    </w:p>
    <w:p w14:paraId="3554B5F8" w14:textId="77777777" w:rsidR="00C44153" w:rsidRPr="00897E0D" w:rsidRDefault="00C44153" w:rsidP="009F493E">
      <w:pPr>
        <w:jc w:val="both"/>
        <w:rPr>
          <w:rFonts w:ascii="Arial" w:hAnsi="Arial" w:cs="Arial"/>
          <w:b/>
          <w:lang w:val="es-MX"/>
        </w:rPr>
      </w:pPr>
    </w:p>
    <w:p w14:paraId="6FB4A36D" w14:textId="7D5140AB" w:rsidR="009F493E" w:rsidRPr="00897E0D" w:rsidRDefault="009F493E" w:rsidP="00C44153">
      <w:pPr>
        <w:jc w:val="right"/>
        <w:rPr>
          <w:rFonts w:ascii="Arial" w:hAnsi="Arial" w:cs="Arial"/>
          <w:b/>
          <w:lang w:val="es-MX"/>
        </w:rPr>
      </w:pPr>
    </w:p>
    <w:p w14:paraId="7FEE75A5" w14:textId="1158A0CA" w:rsidR="009F493E" w:rsidRPr="00897E0D" w:rsidRDefault="004E34A5" w:rsidP="00C44153">
      <w:pPr>
        <w:jc w:val="right"/>
        <w:rPr>
          <w:rFonts w:ascii="Arial" w:hAnsi="Arial" w:cs="Arial"/>
          <w:b/>
          <w:lang w:val="es-MX"/>
        </w:rPr>
      </w:pPr>
      <w:r w:rsidRPr="00897E0D">
        <w:rPr>
          <w:rFonts w:ascii="Arial" w:hAnsi="Arial" w:cs="Arial"/>
          <w:b/>
          <w:lang w:val="es-MX"/>
        </w:rPr>
        <w:lastRenderedPageBreak/>
        <w:t>OFELIA CALLEJA VILLALOBOS</w:t>
      </w:r>
    </w:p>
    <w:p w14:paraId="7A242E41" w14:textId="77777777" w:rsidR="009F493E" w:rsidRPr="00897E0D" w:rsidRDefault="009F493E" w:rsidP="00C44153">
      <w:pPr>
        <w:jc w:val="right"/>
        <w:rPr>
          <w:rFonts w:ascii="Arial" w:hAnsi="Arial" w:cs="Arial"/>
          <w:b/>
          <w:lang w:val="es-MX"/>
        </w:rPr>
      </w:pPr>
      <w:r w:rsidRPr="00897E0D">
        <w:rPr>
          <w:rFonts w:ascii="Arial" w:hAnsi="Arial" w:cs="Arial"/>
          <w:b/>
          <w:lang w:val="es-MX"/>
        </w:rPr>
        <w:t>REGIDORA</w:t>
      </w:r>
    </w:p>
    <w:p w14:paraId="5D9E6FFE" w14:textId="77777777" w:rsidR="008D5454" w:rsidRPr="00897E0D" w:rsidRDefault="008D5454" w:rsidP="00C44153">
      <w:pPr>
        <w:rPr>
          <w:rFonts w:ascii="Arial" w:hAnsi="Arial" w:cs="Arial"/>
          <w:b/>
          <w:lang w:val="es-MX"/>
        </w:rPr>
      </w:pPr>
    </w:p>
    <w:p w14:paraId="6F3A8AB6" w14:textId="77777777" w:rsidR="008D5454" w:rsidRPr="00897E0D" w:rsidRDefault="008D5454" w:rsidP="00C44153">
      <w:pPr>
        <w:rPr>
          <w:rFonts w:ascii="Arial" w:hAnsi="Arial" w:cs="Arial"/>
          <w:b/>
          <w:lang w:val="es-MX"/>
        </w:rPr>
      </w:pPr>
    </w:p>
    <w:p w14:paraId="33E86DF1" w14:textId="77777777" w:rsidR="00AF053C" w:rsidRPr="00897E0D" w:rsidRDefault="00AF053C" w:rsidP="008D5454">
      <w:pPr>
        <w:rPr>
          <w:rFonts w:ascii="Arial" w:hAnsi="Arial" w:cs="Arial"/>
          <w:b/>
          <w:lang w:val="es-MX"/>
        </w:rPr>
      </w:pPr>
    </w:p>
    <w:p w14:paraId="76CE79E9" w14:textId="251A42F7" w:rsidR="00911057" w:rsidRPr="00897E0D" w:rsidRDefault="00E21664" w:rsidP="008D5454">
      <w:pPr>
        <w:rPr>
          <w:rFonts w:ascii="Arial" w:hAnsi="Arial" w:cs="Arial"/>
          <w:b/>
          <w:lang w:val="es-MX"/>
        </w:rPr>
      </w:pPr>
      <w:r w:rsidRPr="00897E0D">
        <w:rPr>
          <w:rFonts w:ascii="Arial" w:hAnsi="Arial" w:cs="Arial"/>
          <w:b/>
          <w:lang w:val="es-MX"/>
        </w:rPr>
        <w:t xml:space="preserve">                                                            </w:t>
      </w:r>
    </w:p>
    <w:p w14:paraId="6A27C4CC" w14:textId="4C415823" w:rsidR="008D5454" w:rsidRPr="00897E0D" w:rsidRDefault="004E34A5" w:rsidP="008D5454">
      <w:pPr>
        <w:rPr>
          <w:rFonts w:ascii="Arial" w:hAnsi="Arial" w:cs="Arial"/>
          <w:b/>
          <w:lang w:val="es-MX"/>
        </w:rPr>
      </w:pPr>
      <w:r w:rsidRPr="00897E0D">
        <w:rPr>
          <w:rFonts w:ascii="Arial" w:hAnsi="Arial" w:cs="Arial"/>
          <w:b/>
          <w:lang w:val="es-MX"/>
        </w:rPr>
        <w:t>GABRIELA DEL CARMEN ECHEVERRÍA GONZÁLEZ</w:t>
      </w:r>
    </w:p>
    <w:p w14:paraId="12B5A858" w14:textId="21375FE6" w:rsidR="008D5454" w:rsidRPr="00897E0D" w:rsidRDefault="008D5454" w:rsidP="008D5454">
      <w:pPr>
        <w:rPr>
          <w:rFonts w:ascii="Arial" w:hAnsi="Arial" w:cs="Arial"/>
          <w:b/>
          <w:lang w:val="es-MX"/>
        </w:rPr>
      </w:pPr>
      <w:r w:rsidRPr="00897E0D">
        <w:rPr>
          <w:rFonts w:ascii="Arial" w:hAnsi="Arial" w:cs="Arial"/>
          <w:b/>
          <w:lang w:val="es-MX"/>
        </w:rPr>
        <w:t>REGIDORA</w:t>
      </w:r>
    </w:p>
    <w:p w14:paraId="6466B260" w14:textId="52D5F314" w:rsidR="00946915" w:rsidRPr="00897E0D" w:rsidRDefault="00946915" w:rsidP="008D5454">
      <w:pPr>
        <w:rPr>
          <w:rFonts w:ascii="Arial" w:hAnsi="Arial" w:cs="Arial"/>
          <w:b/>
          <w:lang w:val="es-MX"/>
        </w:rPr>
      </w:pPr>
    </w:p>
    <w:p w14:paraId="74DB16D0" w14:textId="14070D85" w:rsidR="00946915" w:rsidRPr="00897E0D" w:rsidRDefault="00946915" w:rsidP="008D5454">
      <w:pPr>
        <w:rPr>
          <w:rFonts w:ascii="Arial" w:hAnsi="Arial" w:cs="Arial"/>
          <w:b/>
          <w:lang w:val="es-MX"/>
        </w:rPr>
      </w:pPr>
    </w:p>
    <w:p w14:paraId="6D9E66C7" w14:textId="70D9DAB9" w:rsidR="00946915" w:rsidRPr="00897E0D" w:rsidRDefault="00946915" w:rsidP="008D5454">
      <w:pPr>
        <w:rPr>
          <w:rFonts w:ascii="Arial" w:hAnsi="Arial" w:cs="Arial"/>
          <w:b/>
          <w:lang w:val="es-MX"/>
        </w:rPr>
      </w:pPr>
    </w:p>
    <w:p w14:paraId="70A8E3EA" w14:textId="217B1C4C" w:rsidR="00946915" w:rsidRPr="00897E0D" w:rsidRDefault="00946915" w:rsidP="00946915">
      <w:pPr>
        <w:jc w:val="right"/>
        <w:rPr>
          <w:rFonts w:ascii="Arial" w:hAnsi="Arial" w:cs="Arial"/>
          <w:b/>
          <w:lang w:val="es-MX"/>
        </w:rPr>
      </w:pPr>
    </w:p>
    <w:p w14:paraId="1D1A6A32" w14:textId="1072804C" w:rsidR="00946915" w:rsidRPr="00897E0D" w:rsidRDefault="00946915" w:rsidP="00946915">
      <w:pPr>
        <w:jc w:val="right"/>
        <w:rPr>
          <w:rFonts w:ascii="Arial" w:hAnsi="Arial" w:cs="Arial"/>
          <w:b/>
          <w:lang w:val="es-MX"/>
        </w:rPr>
      </w:pPr>
      <w:r w:rsidRPr="00897E0D">
        <w:rPr>
          <w:rFonts w:ascii="Arial" w:hAnsi="Arial" w:cs="Arial"/>
          <w:b/>
          <w:lang w:val="es-MX"/>
        </w:rPr>
        <w:t>ERIKA DEL ROCÍO ROCHA RIVERA</w:t>
      </w:r>
    </w:p>
    <w:p w14:paraId="13B09298" w14:textId="1CC7E7DF" w:rsidR="00946915" w:rsidRPr="00897E0D" w:rsidRDefault="00946915" w:rsidP="00946915">
      <w:pPr>
        <w:jc w:val="right"/>
        <w:rPr>
          <w:rFonts w:ascii="Arial" w:hAnsi="Arial" w:cs="Arial"/>
          <w:b/>
          <w:lang w:val="es-MX"/>
        </w:rPr>
      </w:pPr>
      <w:r w:rsidRPr="00897E0D">
        <w:rPr>
          <w:rFonts w:ascii="Arial" w:hAnsi="Arial" w:cs="Arial"/>
          <w:b/>
          <w:lang w:val="es-MX"/>
        </w:rPr>
        <w:t>REGIDORA</w:t>
      </w:r>
    </w:p>
    <w:sectPr w:rsidR="00946915" w:rsidRPr="00897E0D" w:rsidSect="00754035">
      <w:headerReference w:type="default" r:id="rId7"/>
      <w:footerReference w:type="even" r:id="rId8"/>
      <w:footerReference w:type="default" r:id="rId9"/>
      <w:pgSz w:w="12242" w:h="15842" w:code="1"/>
      <w:pgMar w:top="2157" w:right="1701" w:bottom="1418" w:left="1701" w:header="709" w:footer="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2A11A" w14:textId="77777777" w:rsidR="00CD2994" w:rsidRDefault="00CD2994" w:rsidP="008D5454">
      <w:r>
        <w:separator/>
      </w:r>
    </w:p>
  </w:endnote>
  <w:endnote w:type="continuationSeparator" w:id="0">
    <w:p w14:paraId="18E2609D" w14:textId="77777777" w:rsidR="00CD2994" w:rsidRDefault="00CD2994" w:rsidP="008D5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05E01" w14:textId="77777777" w:rsidR="002838E4" w:rsidRDefault="002838E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DA33916" w14:textId="77777777" w:rsidR="002838E4" w:rsidRDefault="002838E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10C06" w14:textId="3FE3CE8D" w:rsidR="00754035" w:rsidRPr="00754035" w:rsidRDefault="00754035" w:rsidP="00754035">
    <w:pPr>
      <w:tabs>
        <w:tab w:val="center" w:pos="4252"/>
        <w:tab w:val="right" w:pos="8504"/>
      </w:tabs>
      <w:jc w:val="both"/>
      <w:rPr>
        <w:rFonts w:ascii="Century Gothic" w:hAnsi="Century Gothic"/>
        <w:sz w:val="20"/>
        <w:szCs w:val="20"/>
      </w:rPr>
    </w:pPr>
    <w:r w:rsidRPr="00754035">
      <w:rPr>
        <w:rFonts w:ascii="Century Gothic" w:hAnsi="Century Gothic"/>
        <w:sz w:val="16"/>
        <w:szCs w:val="16"/>
      </w:rPr>
      <w:t xml:space="preserve">Esta Hoja forma parte del dictamen mediante el cual se aprueba la cesión de derechos </w:t>
    </w:r>
    <w:r w:rsidR="00974307">
      <w:rPr>
        <w:rFonts w:ascii="Century Gothic" w:hAnsi="Century Gothic"/>
        <w:sz w:val="16"/>
        <w:szCs w:val="16"/>
      </w:rPr>
      <w:t xml:space="preserve">amparados a través </w:t>
    </w:r>
    <w:r w:rsidRPr="00754035">
      <w:rPr>
        <w:rFonts w:ascii="Century Gothic" w:hAnsi="Century Gothic"/>
        <w:sz w:val="16"/>
        <w:szCs w:val="16"/>
      </w:rPr>
      <w:t xml:space="preserve">de las cédulas de empadronamiento y/o credenciales de identificación que corresponden al listado de </w:t>
    </w:r>
    <w:r w:rsidR="004E34A5">
      <w:rPr>
        <w:rFonts w:ascii="Century Gothic" w:hAnsi="Century Gothic"/>
        <w:sz w:val="16"/>
        <w:szCs w:val="16"/>
      </w:rPr>
      <w:t>67</w:t>
    </w:r>
    <w:r>
      <w:rPr>
        <w:rFonts w:ascii="Century Gothic" w:hAnsi="Century Gothic"/>
        <w:sz w:val="16"/>
        <w:szCs w:val="16"/>
      </w:rPr>
      <w:t xml:space="preserve"> </w:t>
    </w:r>
    <w:r w:rsidRPr="00754035">
      <w:rPr>
        <w:rFonts w:ascii="Century Gothic" w:hAnsi="Century Gothic"/>
        <w:sz w:val="16"/>
        <w:szCs w:val="16"/>
      </w:rPr>
      <w:t xml:space="preserve">expedientes de concesiones para el ejercicio del servicio público de </w:t>
    </w:r>
    <w:r w:rsidR="00974307" w:rsidRPr="00754035">
      <w:rPr>
        <w:rFonts w:ascii="Century Gothic" w:hAnsi="Century Gothic"/>
        <w:sz w:val="16"/>
        <w:szCs w:val="16"/>
      </w:rPr>
      <w:t>mercados. ------------------------------------------------</w:t>
    </w:r>
  </w:p>
  <w:p w14:paraId="7A76F79A" w14:textId="466F7C29" w:rsidR="002838E4" w:rsidRPr="00131A01" w:rsidRDefault="002838E4" w:rsidP="002838E4">
    <w:pPr>
      <w:shd w:val="clear" w:color="auto" w:fill="FFFFFF"/>
      <w:jc w:val="right"/>
      <w:rPr>
        <w:rFonts w:ascii="Century Gothic" w:hAnsi="Century Gothic"/>
        <w:sz w:val="20"/>
        <w:szCs w:val="20"/>
      </w:rPr>
    </w:pPr>
    <w:r w:rsidRPr="00131A01">
      <w:rPr>
        <w:rFonts w:ascii="Century Gothic" w:hAnsi="Century Gothic"/>
        <w:sz w:val="20"/>
        <w:szCs w:val="20"/>
      </w:rPr>
      <w:fldChar w:fldCharType="begin"/>
    </w:r>
    <w:r w:rsidRPr="00131A01">
      <w:rPr>
        <w:rFonts w:ascii="Century Gothic" w:hAnsi="Century Gothic"/>
        <w:sz w:val="20"/>
        <w:szCs w:val="20"/>
      </w:rPr>
      <w:instrText>PAGE   \* MERGEFORMAT</w:instrText>
    </w:r>
    <w:r w:rsidRPr="00131A01">
      <w:rPr>
        <w:rFonts w:ascii="Century Gothic" w:hAnsi="Century Gothic"/>
        <w:sz w:val="20"/>
        <w:szCs w:val="20"/>
      </w:rPr>
      <w:fldChar w:fldCharType="separate"/>
    </w:r>
    <w:r w:rsidR="00FF1348">
      <w:rPr>
        <w:rFonts w:ascii="Century Gothic" w:hAnsi="Century Gothic"/>
        <w:noProof/>
        <w:sz w:val="20"/>
        <w:szCs w:val="20"/>
      </w:rPr>
      <w:t>4</w:t>
    </w:r>
    <w:r w:rsidRPr="00131A01">
      <w:rPr>
        <w:rFonts w:ascii="Century Gothic" w:hAnsi="Century Gothic"/>
        <w:sz w:val="20"/>
        <w:szCs w:val="20"/>
      </w:rPr>
      <w:fldChar w:fldCharType="end"/>
    </w:r>
    <w:r w:rsidR="00FF1348">
      <w:rPr>
        <w:rFonts w:ascii="Century Gothic" w:hAnsi="Century Gothic"/>
        <w:sz w:val="20"/>
        <w:szCs w:val="20"/>
      </w:rPr>
      <w:t xml:space="preserve"> de 6</w:t>
    </w:r>
  </w:p>
  <w:p w14:paraId="4105BC57" w14:textId="77777777" w:rsidR="002838E4" w:rsidRPr="002D60CE" w:rsidRDefault="002838E4" w:rsidP="002838E4">
    <w:pPr>
      <w:pStyle w:val="Piedepgina"/>
      <w:tabs>
        <w:tab w:val="left" w:pos="8460"/>
      </w:tabs>
      <w:ind w:right="44"/>
      <w:jc w:val="both"/>
      <w:rPr>
        <w:rFonts w:ascii="Arial" w:hAnsi="Arial" w:cs="Arial"/>
        <w:sz w:val="16"/>
        <w:szCs w:val="16"/>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83DB3" w14:textId="77777777" w:rsidR="00CD2994" w:rsidRDefault="00CD2994" w:rsidP="008D5454">
      <w:r>
        <w:separator/>
      </w:r>
    </w:p>
  </w:footnote>
  <w:footnote w:type="continuationSeparator" w:id="0">
    <w:p w14:paraId="68ACB37F" w14:textId="77777777" w:rsidR="00CD2994" w:rsidRDefault="00CD2994" w:rsidP="008D5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5DF31" w14:textId="7296651E" w:rsidR="00F459C3" w:rsidRDefault="004E34A5" w:rsidP="002838E4">
    <w:pPr>
      <w:pStyle w:val="Encabezado"/>
      <w:jc w:val="right"/>
    </w:pPr>
    <w:r>
      <w:rPr>
        <w:noProof/>
        <w:lang w:val="es-MX" w:eastAsia="es-MX"/>
      </w:rPr>
      <w:drawing>
        <wp:anchor distT="0" distB="0" distL="114300" distR="114300" simplePos="0" relativeHeight="251660288" behindDoc="1" locked="0" layoutInCell="1" allowOverlap="1" wp14:anchorId="1A31D580" wp14:editId="414C5716">
          <wp:simplePos x="0" y="0"/>
          <wp:positionH relativeFrom="column">
            <wp:posOffset>7706360</wp:posOffset>
          </wp:positionH>
          <wp:positionV relativeFrom="paragraph">
            <wp:posOffset>133350</wp:posOffset>
          </wp:positionV>
          <wp:extent cx="1895475" cy="775335"/>
          <wp:effectExtent l="0" t="0" r="9525"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775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inline distT="0" distB="0" distL="0" distR="0" wp14:anchorId="201DA18F" wp14:editId="3F31BFC3">
          <wp:extent cx="1905000" cy="7810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0" cy="781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5989"/>
    <w:multiLevelType w:val="hybridMultilevel"/>
    <w:tmpl w:val="41781B34"/>
    <w:lvl w:ilvl="0" w:tplc="8DACACAE">
      <w:start w:val="4"/>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F630F2"/>
    <w:multiLevelType w:val="hybridMultilevel"/>
    <w:tmpl w:val="9F70FF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EE94379"/>
    <w:multiLevelType w:val="hybridMultilevel"/>
    <w:tmpl w:val="88AC9E5C"/>
    <w:lvl w:ilvl="0" w:tplc="4B1CD136">
      <w:start w:val="1"/>
      <w:numFmt w:val="upperRoman"/>
      <w:lvlText w:val="%1."/>
      <w:lvlJc w:val="left"/>
      <w:pPr>
        <w:tabs>
          <w:tab w:val="num" w:pos="1647"/>
        </w:tabs>
        <w:ind w:left="1704" w:hanging="624"/>
      </w:pPr>
      <w:rPr>
        <w:rFonts w:ascii="Arial" w:hAnsi="Arial" w:cs="Times New Roman" w:hint="default"/>
        <w:b/>
        <w:i w:val="0"/>
        <w:sz w:val="24"/>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3872292"/>
    <w:multiLevelType w:val="hybridMultilevel"/>
    <w:tmpl w:val="7A4AFF96"/>
    <w:lvl w:ilvl="0" w:tplc="C0226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F726E4F"/>
    <w:multiLevelType w:val="hybridMultilevel"/>
    <w:tmpl w:val="6A4A13E6"/>
    <w:lvl w:ilvl="0" w:tplc="3D14A5AC">
      <w:start w:val="4"/>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0502F7A"/>
    <w:multiLevelType w:val="hybridMultilevel"/>
    <w:tmpl w:val="89A03CD6"/>
    <w:lvl w:ilvl="0" w:tplc="F1DAE180">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6F472D3"/>
    <w:multiLevelType w:val="hybridMultilevel"/>
    <w:tmpl w:val="EFB8FF3E"/>
    <w:lvl w:ilvl="0" w:tplc="5EFAF9CE">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84B4A1E"/>
    <w:multiLevelType w:val="hybridMultilevel"/>
    <w:tmpl w:val="AA1EB36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F177E70"/>
    <w:multiLevelType w:val="hybridMultilevel"/>
    <w:tmpl w:val="77D6B490"/>
    <w:lvl w:ilvl="0" w:tplc="DDE88AA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7"/>
  </w:num>
  <w:num w:numId="5">
    <w:abstractNumId w:val="1"/>
  </w:num>
  <w:num w:numId="6">
    <w:abstractNumId w:val="0"/>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D74"/>
    <w:rsid w:val="0003509E"/>
    <w:rsid w:val="000E60F7"/>
    <w:rsid w:val="00140B25"/>
    <w:rsid w:val="00144CB2"/>
    <w:rsid w:val="00147F3C"/>
    <w:rsid w:val="00197F6E"/>
    <w:rsid w:val="001E4FD3"/>
    <w:rsid w:val="00235095"/>
    <w:rsid w:val="002838E4"/>
    <w:rsid w:val="002D7B19"/>
    <w:rsid w:val="002F6FD0"/>
    <w:rsid w:val="00332D65"/>
    <w:rsid w:val="00353A77"/>
    <w:rsid w:val="003C3E5A"/>
    <w:rsid w:val="003E3D41"/>
    <w:rsid w:val="0041278E"/>
    <w:rsid w:val="00453DF6"/>
    <w:rsid w:val="00475537"/>
    <w:rsid w:val="00481AD4"/>
    <w:rsid w:val="004E34A5"/>
    <w:rsid w:val="004F0B1C"/>
    <w:rsid w:val="004F2FB6"/>
    <w:rsid w:val="004F304D"/>
    <w:rsid w:val="00506D10"/>
    <w:rsid w:val="005070F0"/>
    <w:rsid w:val="0054795A"/>
    <w:rsid w:val="00632003"/>
    <w:rsid w:val="00691E00"/>
    <w:rsid w:val="00721428"/>
    <w:rsid w:val="00754035"/>
    <w:rsid w:val="007A4DC6"/>
    <w:rsid w:val="007A7DE2"/>
    <w:rsid w:val="007F6F67"/>
    <w:rsid w:val="0085024A"/>
    <w:rsid w:val="00874A33"/>
    <w:rsid w:val="0087578D"/>
    <w:rsid w:val="00897E0D"/>
    <w:rsid w:val="008D406F"/>
    <w:rsid w:val="008D5454"/>
    <w:rsid w:val="008E7731"/>
    <w:rsid w:val="00911057"/>
    <w:rsid w:val="0092622E"/>
    <w:rsid w:val="00946915"/>
    <w:rsid w:val="00974307"/>
    <w:rsid w:val="009D6482"/>
    <w:rsid w:val="009E3AE9"/>
    <w:rsid w:val="009F493E"/>
    <w:rsid w:val="00A058AE"/>
    <w:rsid w:val="00A1163E"/>
    <w:rsid w:val="00A53335"/>
    <w:rsid w:val="00A72DA9"/>
    <w:rsid w:val="00A76265"/>
    <w:rsid w:val="00AE003B"/>
    <w:rsid w:val="00AF053C"/>
    <w:rsid w:val="00B04DAA"/>
    <w:rsid w:val="00B64385"/>
    <w:rsid w:val="00B70D1D"/>
    <w:rsid w:val="00C14C92"/>
    <w:rsid w:val="00C261C2"/>
    <w:rsid w:val="00C407FC"/>
    <w:rsid w:val="00C44153"/>
    <w:rsid w:val="00C745DD"/>
    <w:rsid w:val="00C75D74"/>
    <w:rsid w:val="00C869F2"/>
    <w:rsid w:val="00CB73FB"/>
    <w:rsid w:val="00CD2994"/>
    <w:rsid w:val="00CE6E56"/>
    <w:rsid w:val="00CF1581"/>
    <w:rsid w:val="00D0070E"/>
    <w:rsid w:val="00D2055A"/>
    <w:rsid w:val="00D21701"/>
    <w:rsid w:val="00E21664"/>
    <w:rsid w:val="00E26DA4"/>
    <w:rsid w:val="00E42AD0"/>
    <w:rsid w:val="00E561E1"/>
    <w:rsid w:val="00E67FF2"/>
    <w:rsid w:val="00EC39AD"/>
    <w:rsid w:val="00F06070"/>
    <w:rsid w:val="00F459C3"/>
    <w:rsid w:val="00F468F8"/>
    <w:rsid w:val="00F53093"/>
    <w:rsid w:val="00FF1348"/>
    <w:rsid w:val="00FF15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18BC2F"/>
  <w15:docId w15:val="{8F12972A-3696-434D-A5A5-2D1BFFF0E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D74"/>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75D74"/>
    <w:pPr>
      <w:tabs>
        <w:tab w:val="center" w:pos="4419"/>
        <w:tab w:val="right" w:pos="8838"/>
      </w:tabs>
    </w:pPr>
    <w:rPr>
      <w:sz w:val="20"/>
      <w:szCs w:val="20"/>
    </w:rPr>
  </w:style>
  <w:style w:type="character" w:customStyle="1" w:styleId="EncabezadoCar">
    <w:name w:val="Encabezado Car"/>
    <w:basedOn w:val="Fuentedeprrafopredeter"/>
    <w:link w:val="Encabezado"/>
    <w:rsid w:val="00C75D74"/>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rsid w:val="00C75D74"/>
    <w:pPr>
      <w:tabs>
        <w:tab w:val="center" w:pos="4252"/>
        <w:tab w:val="right" w:pos="8504"/>
      </w:tabs>
    </w:pPr>
  </w:style>
  <w:style w:type="character" w:customStyle="1" w:styleId="PiedepginaCar">
    <w:name w:val="Pie de página Car"/>
    <w:basedOn w:val="Fuentedeprrafopredeter"/>
    <w:link w:val="Piedepgina"/>
    <w:uiPriority w:val="99"/>
    <w:rsid w:val="00C75D74"/>
    <w:rPr>
      <w:rFonts w:ascii="Times New Roman" w:eastAsia="Times New Roman" w:hAnsi="Times New Roman" w:cs="Times New Roman"/>
      <w:sz w:val="24"/>
      <w:szCs w:val="24"/>
      <w:lang w:eastAsia="es-ES"/>
    </w:rPr>
  </w:style>
  <w:style w:type="character" w:styleId="Nmerodepgina">
    <w:name w:val="page number"/>
    <w:basedOn w:val="Fuentedeprrafopredeter"/>
    <w:rsid w:val="00C75D74"/>
  </w:style>
  <w:style w:type="paragraph" w:styleId="Prrafodelista">
    <w:name w:val="List Paragraph"/>
    <w:basedOn w:val="Normal"/>
    <w:link w:val="PrrafodelistaCar"/>
    <w:uiPriority w:val="34"/>
    <w:qFormat/>
    <w:rsid w:val="00C75D74"/>
    <w:pPr>
      <w:ind w:left="708"/>
    </w:pPr>
  </w:style>
  <w:style w:type="paragraph" w:customStyle="1" w:styleId="Default">
    <w:name w:val="Default"/>
    <w:basedOn w:val="Normal"/>
    <w:rsid w:val="00C75D74"/>
    <w:pPr>
      <w:autoSpaceDE w:val="0"/>
      <w:autoSpaceDN w:val="0"/>
    </w:pPr>
    <w:rPr>
      <w:rFonts w:ascii="Arial" w:hAnsi="Arial" w:cs="Arial"/>
      <w:color w:val="000000"/>
      <w:lang w:val="es-MX" w:eastAsia="es-MX"/>
    </w:rPr>
  </w:style>
  <w:style w:type="character" w:customStyle="1" w:styleId="PrrafodelistaCar">
    <w:name w:val="Párrafo de lista Car"/>
    <w:link w:val="Prrafodelista"/>
    <w:uiPriority w:val="34"/>
    <w:rsid w:val="00C75D74"/>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C75D74"/>
    <w:rPr>
      <w:rFonts w:ascii="Tahoma" w:hAnsi="Tahoma" w:cs="Tahoma"/>
      <w:sz w:val="16"/>
      <w:szCs w:val="16"/>
    </w:rPr>
  </w:style>
  <w:style w:type="character" w:customStyle="1" w:styleId="TextodegloboCar">
    <w:name w:val="Texto de globo Car"/>
    <w:basedOn w:val="Fuentedeprrafopredeter"/>
    <w:link w:val="Textodeglobo"/>
    <w:uiPriority w:val="99"/>
    <w:semiHidden/>
    <w:rsid w:val="00C75D74"/>
    <w:rPr>
      <w:rFonts w:ascii="Tahoma" w:eastAsia="Times New Roman" w:hAnsi="Tahoma" w:cs="Tahoma"/>
      <w:sz w:val="16"/>
      <w:szCs w:val="16"/>
      <w:lang w:eastAsia="es-ES"/>
    </w:rPr>
  </w:style>
  <w:style w:type="character" w:styleId="Refdecomentario">
    <w:name w:val="annotation reference"/>
    <w:basedOn w:val="Fuentedeprrafopredeter"/>
    <w:uiPriority w:val="99"/>
    <w:semiHidden/>
    <w:unhideWhenUsed/>
    <w:rsid w:val="00632003"/>
    <w:rPr>
      <w:sz w:val="16"/>
      <w:szCs w:val="16"/>
    </w:rPr>
  </w:style>
  <w:style w:type="paragraph" w:styleId="Textocomentario">
    <w:name w:val="annotation text"/>
    <w:basedOn w:val="Normal"/>
    <w:link w:val="TextocomentarioCar"/>
    <w:uiPriority w:val="99"/>
    <w:semiHidden/>
    <w:unhideWhenUsed/>
    <w:rsid w:val="00632003"/>
    <w:rPr>
      <w:sz w:val="20"/>
      <w:szCs w:val="20"/>
    </w:rPr>
  </w:style>
  <w:style w:type="character" w:customStyle="1" w:styleId="TextocomentarioCar">
    <w:name w:val="Texto comentario Car"/>
    <w:basedOn w:val="Fuentedeprrafopredeter"/>
    <w:link w:val="Textocomentario"/>
    <w:uiPriority w:val="99"/>
    <w:semiHidden/>
    <w:rsid w:val="00632003"/>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632003"/>
    <w:rPr>
      <w:b/>
      <w:bCs/>
    </w:rPr>
  </w:style>
  <w:style w:type="character" w:customStyle="1" w:styleId="AsuntodelcomentarioCar">
    <w:name w:val="Asunto del comentario Car"/>
    <w:basedOn w:val="TextocomentarioCar"/>
    <w:link w:val="Asuntodelcomentario"/>
    <w:uiPriority w:val="99"/>
    <w:semiHidden/>
    <w:rsid w:val="00632003"/>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1738</Words>
  <Characters>9562</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FCIL</dc:creator>
  <cp:lastModifiedBy>Karina Vázquez Lugo</cp:lastModifiedBy>
  <cp:revision>2</cp:revision>
  <cp:lastPrinted>2021-10-22T14:00:00Z</cp:lastPrinted>
  <dcterms:created xsi:type="dcterms:W3CDTF">2021-10-26T04:10:00Z</dcterms:created>
  <dcterms:modified xsi:type="dcterms:W3CDTF">2021-10-26T04:10:00Z</dcterms:modified>
</cp:coreProperties>
</file>